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722CDD">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2"/>
        <w:rPr>
          <w:rFonts w:hint="eastAsia" w:ascii="国标黑体" w:hAnsi="国标黑体" w:eastAsia="国标黑体" w:cs="国标黑体"/>
          <w:bCs/>
          <w:sz w:val="32"/>
          <w:szCs w:val="32"/>
          <w:lang w:val="en-US"/>
        </w:rPr>
      </w:pPr>
      <w:r>
        <w:rPr>
          <w:rFonts w:hint="eastAsia" w:ascii="国标黑体" w:hAnsi="国标黑体" w:eastAsia="国标黑体" w:cs="国标黑体"/>
          <w:bCs/>
          <w:sz w:val="32"/>
          <w:szCs w:val="32"/>
          <w:lang w:eastAsia="zh-CN"/>
        </w:rPr>
        <w:t>附件</w:t>
      </w:r>
      <w:r>
        <w:rPr>
          <w:rFonts w:hint="eastAsia" w:ascii="国标黑体" w:hAnsi="国标黑体" w:eastAsia="国标黑体" w:cs="国标黑体"/>
          <w:bCs/>
          <w:sz w:val="32"/>
          <w:szCs w:val="32"/>
          <w:lang w:val="en-US" w:eastAsia="zh-CN"/>
        </w:rPr>
        <w:t>3.1</w:t>
      </w:r>
    </w:p>
    <w:p w14:paraId="596F3216">
      <w:pPr>
        <w:spacing w:line="300" w:lineRule="auto"/>
        <w:jc w:val="center"/>
        <w:rPr>
          <w:rFonts w:hint="eastAsia" w:ascii="仿宋_GB2312" w:hAnsi="仿宋_GB2312" w:eastAsia="仿宋_GB2312" w:cs="仿宋_GB2312"/>
          <w:b/>
          <w:color w:val="auto"/>
          <w:spacing w:val="14"/>
          <w:kern w:val="0"/>
          <w:sz w:val="32"/>
          <w:szCs w:val="32"/>
        </w:rPr>
      </w:pPr>
      <w:r>
        <w:rPr>
          <w:rFonts w:hint="eastAsia" w:ascii="仿宋_GB2312" w:hAnsi="仿宋_GB2312" w:eastAsia="仿宋_GB2312" w:cs="仿宋_GB2312"/>
          <w:b/>
          <w:color w:val="auto"/>
          <w:spacing w:val="14"/>
          <w:kern w:val="0"/>
          <w:sz w:val="32"/>
          <w:szCs w:val="32"/>
        </w:rPr>
        <w:t>用人单位职业卫生管理自查表</w:t>
      </w:r>
    </w:p>
    <w:p w14:paraId="22A52E8C">
      <w:pPr>
        <w:rPr>
          <w:rFonts w:ascii="Times New Roman" w:hAnsi="Times New Roman" w:eastAsia="仿宋_GB2312" w:cs="Times New Roman"/>
          <w:b/>
          <w:bCs/>
          <w:color w:val="auto"/>
          <w:szCs w:val="21"/>
        </w:rPr>
      </w:pPr>
      <w:r>
        <w:rPr>
          <w:rFonts w:ascii="Times New Roman" w:hAnsi="Times New Roman" w:eastAsia="仿宋_GB2312" w:cs="Times New Roman"/>
          <w:b/>
          <w:bCs/>
          <w:color w:val="auto"/>
          <w:kern w:val="0"/>
          <w:szCs w:val="21"/>
        </w:rPr>
        <w:t>单位名称：</w:t>
      </w:r>
      <w:r>
        <w:rPr>
          <w:rFonts w:hint="eastAsia" w:ascii="Times New Roman" w:hAnsi="Times New Roman" w:eastAsia="仿宋_GB2312" w:cs="Times New Roman"/>
          <w:b/>
          <w:bCs/>
          <w:color w:val="auto"/>
          <w:kern w:val="0"/>
          <w:szCs w:val="21"/>
          <w:lang w:val="en-US" w:eastAsia="zh-CN"/>
        </w:rPr>
        <w:t xml:space="preserve">                                                                              </w:t>
      </w:r>
      <w:r>
        <w:rPr>
          <w:rFonts w:ascii="Times New Roman" w:hAnsi="Times New Roman" w:eastAsia="仿宋_GB2312" w:cs="Times New Roman"/>
          <w:b/>
          <w:bCs/>
          <w:color w:val="auto"/>
          <w:szCs w:val="21"/>
        </w:rPr>
        <w:t>职业卫生管理状况等级：</w:t>
      </w:r>
    </w:p>
    <w:tbl>
      <w:tblPr>
        <w:tblStyle w:val="3"/>
        <w:tblW w:w="139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67"/>
        <w:gridCol w:w="778"/>
        <w:gridCol w:w="3884"/>
        <w:gridCol w:w="1645"/>
        <w:gridCol w:w="1385"/>
        <w:gridCol w:w="1401"/>
        <w:gridCol w:w="1294"/>
        <w:gridCol w:w="1136"/>
        <w:gridCol w:w="425"/>
        <w:gridCol w:w="996"/>
        <w:gridCol w:w="381"/>
      </w:tblGrid>
      <w:tr w14:paraId="19AFB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 w:hRule="atLeast"/>
          <w:tblHeader/>
        </w:trPr>
        <w:tc>
          <w:tcPr>
            <w:tcW w:w="667" w:type="dxa"/>
            <w:vMerge w:val="restart"/>
            <w:vAlign w:val="center"/>
          </w:tcPr>
          <w:p w14:paraId="2F77727B">
            <w:pPr>
              <w:widowControl/>
              <w:adjustRightInd w:val="0"/>
              <w:snapToGrid w:val="0"/>
              <w:jc w:val="center"/>
              <w:rPr>
                <w:rFonts w:hint="eastAsia" w:ascii="方正仿宋_GBK" w:hAnsi="方正仿宋_GBK" w:eastAsia="方正仿宋_GBK" w:cs="方正仿宋_GBK"/>
                <w:b/>
                <w:color w:val="auto"/>
                <w:kern w:val="0"/>
                <w:sz w:val="18"/>
                <w:szCs w:val="18"/>
              </w:rPr>
            </w:pPr>
            <w:r>
              <w:rPr>
                <w:rFonts w:hint="eastAsia" w:ascii="方正仿宋_GBK" w:hAnsi="方正仿宋_GBK" w:eastAsia="方正仿宋_GBK" w:cs="方正仿宋_GBK"/>
                <w:b/>
                <w:color w:val="auto"/>
                <w:kern w:val="0"/>
                <w:sz w:val="18"/>
                <w:szCs w:val="18"/>
              </w:rPr>
              <w:t>类别</w:t>
            </w:r>
          </w:p>
        </w:tc>
        <w:tc>
          <w:tcPr>
            <w:tcW w:w="778" w:type="dxa"/>
            <w:vMerge w:val="restart"/>
            <w:vAlign w:val="center"/>
          </w:tcPr>
          <w:p w14:paraId="0AF85C6E">
            <w:pPr>
              <w:widowControl/>
              <w:adjustRightInd w:val="0"/>
              <w:snapToGrid w:val="0"/>
              <w:jc w:val="center"/>
              <w:rPr>
                <w:rFonts w:hint="eastAsia" w:ascii="方正仿宋_GBK" w:hAnsi="方正仿宋_GBK" w:eastAsia="方正仿宋_GBK" w:cs="方正仿宋_GBK"/>
                <w:b/>
                <w:color w:val="auto"/>
                <w:kern w:val="0"/>
                <w:sz w:val="18"/>
                <w:szCs w:val="18"/>
              </w:rPr>
            </w:pPr>
            <w:r>
              <w:rPr>
                <w:rFonts w:hint="eastAsia" w:ascii="方正仿宋_GBK" w:hAnsi="方正仿宋_GBK" w:eastAsia="方正仿宋_GBK" w:cs="方正仿宋_GBK"/>
                <w:b/>
                <w:color w:val="auto"/>
                <w:kern w:val="0"/>
                <w:sz w:val="18"/>
                <w:szCs w:val="18"/>
              </w:rPr>
              <w:t>自查项目</w:t>
            </w:r>
          </w:p>
        </w:tc>
        <w:tc>
          <w:tcPr>
            <w:tcW w:w="3884" w:type="dxa"/>
            <w:vMerge w:val="restart"/>
            <w:vAlign w:val="center"/>
          </w:tcPr>
          <w:p w14:paraId="005DF20C">
            <w:pPr>
              <w:widowControl/>
              <w:adjustRightInd w:val="0"/>
              <w:snapToGrid w:val="0"/>
              <w:jc w:val="center"/>
              <w:rPr>
                <w:rFonts w:hint="eastAsia" w:ascii="方正仿宋_GBK" w:hAnsi="方正仿宋_GBK" w:eastAsia="方正仿宋_GBK" w:cs="方正仿宋_GBK"/>
                <w:b/>
                <w:color w:val="auto"/>
                <w:kern w:val="0"/>
                <w:sz w:val="18"/>
                <w:szCs w:val="18"/>
              </w:rPr>
            </w:pPr>
            <w:r>
              <w:rPr>
                <w:rFonts w:hint="eastAsia" w:ascii="方正仿宋_GBK" w:hAnsi="方正仿宋_GBK" w:eastAsia="方正仿宋_GBK" w:cs="方正仿宋_GBK"/>
                <w:b/>
                <w:color w:val="auto"/>
                <w:kern w:val="0"/>
                <w:sz w:val="18"/>
                <w:szCs w:val="18"/>
              </w:rPr>
              <w:t>自查内容</w:t>
            </w:r>
          </w:p>
        </w:tc>
        <w:tc>
          <w:tcPr>
            <w:tcW w:w="1645" w:type="dxa"/>
            <w:vMerge w:val="restart"/>
            <w:vAlign w:val="center"/>
          </w:tcPr>
          <w:p w14:paraId="281D73BB">
            <w:pPr>
              <w:widowControl/>
              <w:adjustRightInd w:val="0"/>
              <w:snapToGrid w:val="0"/>
              <w:jc w:val="center"/>
              <w:rPr>
                <w:rFonts w:hint="eastAsia" w:ascii="方正仿宋_GBK" w:hAnsi="方正仿宋_GBK" w:eastAsia="方正仿宋_GBK" w:cs="方正仿宋_GBK"/>
                <w:b/>
                <w:color w:val="auto"/>
                <w:kern w:val="0"/>
                <w:sz w:val="18"/>
                <w:szCs w:val="18"/>
              </w:rPr>
            </w:pPr>
            <w:r>
              <w:rPr>
                <w:rFonts w:hint="eastAsia" w:ascii="方正仿宋_GBK" w:hAnsi="方正仿宋_GBK" w:eastAsia="方正仿宋_GBK" w:cs="方正仿宋_GBK"/>
                <w:b/>
                <w:color w:val="auto"/>
                <w:kern w:val="0"/>
                <w:sz w:val="18"/>
                <w:szCs w:val="18"/>
              </w:rPr>
              <w:t>自查方法</w:t>
            </w:r>
          </w:p>
        </w:tc>
        <w:tc>
          <w:tcPr>
            <w:tcW w:w="5216" w:type="dxa"/>
            <w:gridSpan w:val="4"/>
          </w:tcPr>
          <w:p w14:paraId="0BC44EF0">
            <w:pPr>
              <w:widowControl/>
              <w:adjustRightInd w:val="0"/>
              <w:snapToGrid w:val="0"/>
              <w:jc w:val="center"/>
              <w:rPr>
                <w:rFonts w:hint="eastAsia" w:ascii="方正仿宋_GBK" w:hAnsi="方正仿宋_GBK" w:eastAsia="方正仿宋_GBK" w:cs="方正仿宋_GBK"/>
                <w:b/>
                <w:color w:val="auto"/>
                <w:kern w:val="0"/>
                <w:sz w:val="18"/>
                <w:szCs w:val="18"/>
              </w:rPr>
            </w:pPr>
            <w:r>
              <w:rPr>
                <w:rFonts w:hint="eastAsia" w:ascii="方正仿宋_GBK" w:hAnsi="方正仿宋_GBK" w:eastAsia="方正仿宋_GBK" w:cs="方正仿宋_GBK"/>
                <w:b/>
                <w:color w:val="auto"/>
                <w:kern w:val="0"/>
                <w:sz w:val="18"/>
                <w:szCs w:val="18"/>
              </w:rPr>
              <w:t>判定依据</w:t>
            </w:r>
          </w:p>
        </w:tc>
        <w:tc>
          <w:tcPr>
            <w:tcW w:w="425" w:type="dxa"/>
            <w:vMerge w:val="restart"/>
            <w:vAlign w:val="center"/>
          </w:tcPr>
          <w:p w14:paraId="3231F891">
            <w:pPr>
              <w:widowControl/>
              <w:adjustRightInd w:val="0"/>
              <w:snapToGrid w:val="0"/>
              <w:jc w:val="center"/>
              <w:rPr>
                <w:rFonts w:hint="eastAsia" w:ascii="方正仿宋_GBK" w:hAnsi="方正仿宋_GBK" w:eastAsia="方正仿宋_GBK" w:cs="方正仿宋_GBK"/>
                <w:b/>
                <w:color w:val="auto"/>
                <w:kern w:val="0"/>
                <w:sz w:val="18"/>
                <w:szCs w:val="18"/>
              </w:rPr>
            </w:pPr>
            <w:r>
              <w:rPr>
                <w:rFonts w:hint="eastAsia" w:ascii="方正仿宋_GBK" w:hAnsi="方正仿宋_GBK" w:eastAsia="方正仿宋_GBK" w:cs="方正仿宋_GBK"/>
                <w:b/>
                <w:color w:val="auto"/>
                <w:kern w:val="0"/>
                <w:sz w:val="18"/>
                <w:szCs w:val="18"/>
              </w:rPr>
              <w:t>分值</w:t>
            </w:r>
          </w:p>
        </w:tc>
        <w:tc>
          <w:tcPr>
            <w:tcW w:w="996" w:type="dxa"/>
            <w:vMerge w:val="restart"/>
            <w:vAlign w:val="center"/>
          </w:tcPr>
          <w:p w14:paraId="1AF6CEE3">
            <w:pPr>
              <w:widowControl/>
              <w:adjustRightInd w:val="0"/>
              <w:snapToGrid w:val="0"/>
              <w:jc w:val="center"/>
              <w:rPr>
                <w:rFonts w:hint="eastAsia" w:ascii="方正仿宋_GBK" w:hAnsi="方正仿宋_GBK" w:eastAsia="方正仿宋_GBK" w:cs="方正仿宋_GBK"/>
                <w:b/>
                <w:color w:val="auto"/>
                <w:kern w:val="0"/>
                <w:sz w:val="18"/>
                <w:szCs w:val="18"/>
              </w:rPr>
            </w:pPr>
            <w:r>
              <w:rPr>
                <w:rFonts w:hint="eastAsia" w:ascii="方正仿宋_GBK" w:hAnsi="方正仿宋_GBK" w:eastAsia="方正仿宋_GBK" w:cs="方正仿宋_GBK"/>
                <w:b/>
                <w:color w:val="auto"/>
                <w:kern w:val="0"/>
                <w:sz w:val="18"/>
                <w:szCs w:val="18"/>
              </w:rPr>
              <w:t>自查结果</w:t>
            </w:r>
          </w:p>
        </w:tc>
        <w:tc>
          <w:tcPr>
            <w:tcW w:w="381" w:type="dxa"/>
            <w:vMerge w:val="restart"/>
            <w:vAlign w:val="center"/>
          </w:tcPr>
          <w:p w14:paraId="66C6195D">
            <w:pPr>
              <w:widowControl/>
              <w:adjustRightInd w:val="0"/>
              <w:snapToGrid w:val="0"/>
              <w:jc w:val="center"/>
              <w:rPr>
                <w:rFonts w:hint="eastAsia" w:ascii="方正仿宋_GBK" w:hAnsi="方正仿宋_GBK" w:eastAsia="方正仿宋_GBK" w:cs="方正仿宋_GBK"/>
                <w:b/>
                <w:color w:val="auto"/>
                <w:kern w:val="0"/>
                <w:sz w:val="18"/>
                <w:szCs w:val="18"/>
              </w:rPr>
            </w:pPr>
            <w:r>
              <w:rPr>
                <w:rFonts w:hint="eastAsia" w:ascii="方正仿宋_GBK" w:hAnsi="方正仿宋_GBK" w:eastAsia="方正仿宋_GBK" w:cs="方正仿宋_GBK"/>
                <w:b/>
                <w:color w:val="auto"/>
                <w:kern w:val="0"/>
                <w:sz w:val="18"/>
                <w:szCs w:val="18"/>
              </w:rPr>
              <w:t>得分</w:t>
            </w:r>
          </w:p>
        </w:tc>
      </w:tr>
      <w:tr w14:paraId="59D50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 w:hRule="atLeast"/>
          <w:tblHeader/>
        </w:trPr>
        <w:tc>
          <w:tcPr>
            <w:tcW w:w="667" w:type="dxa"/>
            <w:vMerge w:val="continue"/>
            <w:vAlign w:val="center"/>
          </w:tcPr>
          <w:p w14:paraId="216F35CE">
            <w:pPr>
              <w:widowControl/>
              <w:adjustRightInd w:val="0"/>
              <w:snapToGrid w:val="0"/>
              <w:jc w:val="center"/>
              <w:rPr>
                <w:rFonts w:hint="eastAsia" w:ascii="方正仿宋_GBK" w:hAnsi="方正仿宋_GBK" w:eastAsia="方正仿宋_GBK" w:cs="方正仿宋_GBK"/>
                <w:b/>
                <w:color w:val="auto"/>
                <w:kern w:val="0"/>
                <w:sz w:val="18"/>
                <w:szCs w:val="18"/>
              </w:rPr>
            </w:pPr>
          </w:p>
        </w:tc>
        <w:tc>
          <w:tcPr>
            <w:tcW w:w="778" w:type="dxa"/>
            <w:vMerge w:val="continue"/>
            <w:vAlign w:val="center"/>
          </w:tcPr>
          <w:p w14:paraId="5F658775">
            <w:pPr>
              <w:widowControl/>
              <w:adjustRightInd w:val="0"/>
              <w:snapToGrid w:val="0"/>
              <w:jc w:val="center"/>
              <w:rPr>
                <w:rFonts w:hint="eastAsia" w:ascii="方正仿宋_GBK" w:hAnsi="方正仿宋_GBK" w:eastAsia="方正仿宋_GBK" w:cs="方正仿宋_GBK"/>
                <w:b/>
                <w:color w:val="auto"/>
                <w:kern w:val="0"/>
                <w:sz w:val="18"/>
                <w:szCs w:val="18"/>
              </w:rPr>
            </w:pPr>
          </w:p>
        </w:tc>
        <w:tc>
          <w:tcPr>
            <w:tcW w:w="3884" w:type="dxa"/>
            <w:vMerge w:val="continue"/>
            <w:vAlign w:val="center"/>
          </w:tcPr>
          <w:p w14:paraId="47BD45CC">
            <w:pPr>
              <w:widowControl/>
              <w:adjustRightInd w:val="0"/>
              <w:snapToGrid w:val="0"/>
              <w:jc w:val="center"/>
              <w:rPr>
                <w:rFonts w:hint="eastAsia" w:ascii="方正仿宋_GBK" w:hAnsi="方正仿宋_GBK" w:eastAsia="方正仿宋_GBK" w:cs="方正仿宋_GBK"/>
                <w:b/>
                <w:color w:val="auto"/>
                <w:kern w:val="0"/>
                <w:sz w:val="18"/>
                <w:szCs w:val="18"/>
              </w:rPr>
            </w:pPr>
          </w:p>
        </w:tc>
        <w:tc>
          <w:tcPr>
            <w:tcW w:w="1645" w:type="dxa"/>
            <w:vMerge w:val="continue"/>
            <w:vAlign w:val="center"/>
          </w:tcPr>
          <w:p w14:paraId="7D8B2AA4">
            <w:pPr>
              <w:widowControl/>
              <w:adjustRightInd w:val="0"/>
              <w:snapToGrid w:val="0"/>
              <w:jc w:val="center"/>
              <w:rPr>
                <w:rFonts w:hint="eastAsia" w:ascii="方正仿宋_GBK" w:hAnsi="方正仿宋_GBK" w:eastAsia="方正仿宋_GBK" w:cs="方正仿宋_GBK"/>
                <w:b/>
                <w:color w:val="auto"/>
                <w:kern w:val="0"/>
                <w:sz w:val="18"/>
                <w:szCs w:val="18"/>
              </w:rPr>
            </w:pPr>
          </w:p>
        </w:tc>
        <w:tc>
          <w:tcPr>
            <w:tcW w:w="1385" w:type="dxa"/>
          </w:tcPr>
          <w:p w14:paraId="1455107A">
            <w:pPr>
              <w:widowControl/>
              <w:adjustRightInd w:val="0"/>
              <w:snapToGrid w:val="0"/>
              <w:jc w:val="center"/>
              <w:rPr>
                <w:rFonts w:hint="eastAsia" w:ascii="方正仿宋_GBK" w:hAnsi="方正仿宋_GBK" w:eastAsia="方正仿宋_GBK" w:cs="方正仿宋_GBK"/>
                <w:b/>
                <w:color w:val="auto"/>
                <w:kern w:val="0"/>
                <w:sz w:val="18"/>
                <w:szCs w:val="18"/>
              </w:rPr>
            </w:pPr>
            <w:r>
              <w:rPr>
                <w:rFonts w:hint="eastAsia" w:ascii="方正仿宋_GBK" w:hAnsi="方正仿宋_GBK" w:eastAsia="方正仿宋_GBK" w:cs="方正仿宋_GBK"/>
                <w:b/>
                <w:color w:val="auto"/>
                <w:kern w:val="0"/>
                <w:sz w:val="18"/>
                <w:szCs w:val="18"/>
              </w:rPr>
              <w:t>符合</w:t>
            </w:r>
          </w:p>
        </w:tc>
        <w:tc>
          <w:tcPr>
            <w:tcW w:w="1401" w:type="dxa"/>
          </w:tcPr>
          <w:p w14:paraId="2A2DBFA2">
            <w:pPr>
              <w:widowControl/>
              <w:adjustRightInd w:val="0"/>
              <w:snapToGrid w:val="0"/>
              <w:jc w:val="center"/>
              <w:rPr>
                <w:rFonts w:hint="eastAsia" w:ascii="方正仿宋_GBK" w:hAnsi="方正仿宋_GBK" w:eastAsia="方正仿宋_GBK" w:cs="方正仿宋_GBK"/>
                <w:b/>
                <w:color w:val="auto"/>
                <w:kern w:val="0"/>
                <w:sz w:val="18"/>
                <w:szCs w:val="18"/>
              </w:rPr>
            </w:pPr>
            <w:r>
              <w:rPr>
                <w:rFonts w:hint="eastAsia" w:ascii="方正仿宋_GBK" w:hAnsi="方正仿宋_GBK" w:eastAsia="方正仿宋_GBK" w:cs="方正仿宋_GBK"/>
                <w:b/>
                <w:color w:val="auto"/>
                <w:kern w:val="0"/>
                <w:sz w:val="18"/>
                <w:szCs w:val="18"/>
              </w:rPr>
              <w:t>基本符合</w:t>
            </w:r>
          </w:p>
        </w:tc>
        <w:tc>
          <w:tcPr>
            <w:tcW w:w="1294" w:type="dxa"/>
          </w:tcPr>
          <w:p w14:paraId="64FFAB13">
            <w:pPr>
              <w:widowControl/>
              <w:adjustRightInd w:val="0"/>
              <w:snapToGrid w:val="0"/>
              <w:jc w:val="center"/>
              <w:rPr>
                <w:rFonts w:hint="eastAsia" w:ascii="方正仿宋_GBK" w:hAnsi="方正仿宋_GBK" w:eastAsia="方正仿宋_GBK" w:cs="方正仿宋_GBK"/>
                <w:b/>
                <w:color w:val="auto"/>
                <w:kern w:val="0"/>
                <w:sz w:val="18"/>
                <w:szCs w:val="18"/>
              </w:rPr>
            </w:pPr>
            <w:r>
              <w:rPr>
                <w:rFonts w:hint="eastAsia" w:ascii="方正仿宋_GBK" w:hAnsi="方正仿宋_GBK" w:eastAsia="方正仿宋_GBK" w:cs="方正仿宋_GBK"/>
                <w:b/>
                <w:color w:val="auto"/>
                <w:kern w:val="0"/>
                <w:sz w:val="18"/>
                <w:szCs w:val="18"/>
              </w:rPr>
              <w:t>不符合</w:t>
            </w:r>
          </w:p>
        </w:tc>
        <w:tc>
          <w:tcPr>
            <w:tcW w:w="1136" w:type="dxa"/>
          </w:tcPr>
          <w:p w14:paraId="1904F827">
            <w:pPr>
              <w:widowControl/>
              <w:adjustRightInd w:val="0"/>
              <w:snapToGrid w:val="0"/>
              <w:jc w:val="center"/>
              <w:rPr>
                <w:rFonts w:hint="eastAsia" w:ascii="方正仿宋_GBK" w:hAnsi="方正仿宋_GBK" w:eastAsia="方正仿宋_GBK" w:cs="方正仿宋_GBK"/>
                <w:b/>
                <w:color w:val="auto"/>
                <w:kern w:val="0"/>
                <w:sz w:val="18"/>
                <w:szCs w:val="18"/>
              </w:rPr>
            </w:pPr>
            <w:r>
              <w:rPr>
                <w:rFonts w:hint="eastAsia" w:ascii="方正仿宋_GBK" w:hAnsi="方正仿宋_GBK" w:eastAsia="方正仿宋_GBK" w:cs="方正仿宋_GBK"/>
                <w:b/>
                <w:color w:val="auto"/>
                <w:kern w:val="0"/>
                <w:sz w:val="18"/>
                <w:szCs w:val="18"/>
              </w:rPr>
              <w:t>合理缺项</w:t>
            </w:r>
          </w:p>
        </w:tc>
        <w:tc>
          <w:tcPr>
            <w:tcW w:w="425" w:type="dxa"/>
            <w:vMerge w:val="continue"/>
            <w:vAlign w:val="center"/>
          </w:tcPr>
          <w:p w14:paraId="600B10D4">
            <w:pPr>
              <w:widowControl/>
              <w:adjustRightInd w:val="0"/>
              <w:snapToGrid w:val="0"/>
              <w:jc w:val="center"/>
              <w:rPr>
                <w:rFonts w:hint="eastAsia" w:ascii="方正仿宋_GBK" w:hAnsi="方正仿宋_GBK" w:eastAsia="方正仿宋_GBK" w:cs="方正仿宋_GBK"/>
                <w:b/>
                <w:color w:val="auto"/>
                <w:kern w:val="0"/>
                <w:sz w:val="18"/>
                <w:szCs w:val="18"/>
              </w:rPr>
            </w:pPr>
          </w:p>
        </w:tc>
        <w:tc>
          <w:tcPr>
            <w:tcW w:w="996" w:type="dxa"/>
            <w:vMerge w:val="continue"/>
            <w:vAlign w:val="center"/>
          </w:tcPr>
          <w:p w14:paraId="11E4360A">
            <w:pPr>
              <w:widowControl/>
              <w:adjustRightInd w:val="0"/>
              <w:snapToGrid w:val="0"/>
              <w:jc w:val="left"/>
              <w:rPr>
                <w:rFonts w:hint="eastAsia" w:ascii="方正仿宋_GBK" w:hAnsi="方正仿宋_GBK" w:eastAsia="方正仿宋_GBK" w:cs="方正仿宋_GBK"/>
                <w:b/>
                <w:color w:val="auto"/>
                <w:kern w:val="0"/>
                <w:sz w:val="18"/>
                <w:szCs w:val="18"/>
              </w:rPr>
            </w:pPr>
          </w:p>
        </w:tc>
        <w:tc>
          <w:tcPr>
            <w:tcW w:w="381" w:type="dxa"/>
            <w:vMerge w:val="continue"/>
            <w:vAlign w:val="center"/>
          </w:tcPr>
          <w:p w14:paraId="6274006D">
            <w:pPr>
              <w:widowControl/>
              <w:adjustRightInd w:val="0"/>
              <w:snapToGrid w:val="0"/>
              <w:jc w:val="center"/>
              <w:rPr>
                <w:rFonts w:hint="eastAsia" w:ascii="方正仿宋_GBK" w:hAnsi="方正仿宋_GBK" w:eastAsia="方正仿宋_GBK" w:cs="方正仿宋_GBK"/>
                <w:b/>
                <w:color w:val="auto"/>
                <w:kern w:val="0"/>
                <w:sz w:val="18"/>
                <w:szCs w:val="18"/>
              </w:rPr>
            </w:pPr>
          </w:p>
        </w:tc>
      </w:tr>
      <w:tr w14:paraId="5E903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67" w:type="dxa"/>
            <w:vMerge w:val="restart"/>
            <w:vAlign w:val="center"/>
          </w:tcPr>
          <w:p w14:paraId="4AE75F7E">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一、职业病防治管理措施</w:t>
            </w:r>
          </w:p>
        </w:tc>
        <w:tc>
          <w:tcPr>
            <w:tcW w:w="778" w:type="dxa"/>
            <w:vAlign w:val="center"/>
          </w:tcPr>
          <w:p w14:paraId="225BC9C9">
            <w:pPr>
              <w:tabs>
                <w:tab w:val="left" w:pos="253"/>
              </w:tabs>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w:t>
            </w:r>
            <w:r>
              <w:rPr>
                <w:rFonts w:hint="eastAsia" w:ascii="方正仿宋_GBK" w:hAnsi="方正仿宋_GBK" w:eastAsia="方正仿宋_GBK" w:cs="方正仿宋_GBK"/>
                <w:color w:val="auto"/>
                <w:sz w:val="18"/>
                <w:szCs w:val="18"/>
              </w:rPr>
              <w:t>管理机构或者组织</w:t>
            </w:r>
          </w:p>
        </w:tc>
        <w:tc>
          <w:tcPr>
            <w:tcW w:w="3884" w:type="dxa"/>
            <w:vAlign w:val="center"/>
          </w:tcPr>
          <w:p w14:paraId="2B6C8CAE">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sz w:val="18"/>
                <w:szCs w:val="18"/>
              </w:rPr>
              <w:t>设置或者指定职业卫生管理机构或者组织。</w:t>
            </w:r>
            <w:r>
              <w:rPr>
                <w:rFonts w:hint="eastAsia" w:ascii="方正仿宋_GBK" w:hAnsi="方正仿宋_GBK" w:eastAsia="方正仿宋_GBK" w:cs="方正仿宋_GBK"/>
                <w:color w:val="auto"/>
                <w:kern w:val="0"/>
                <w:sz w:val="18"/>
                <w:szCs w:val="18"/>
              </w:rPr>
              <w:t>职业病危害严重或劳动者超过100人的用人单位应设置或者指定职业卫生管理机构或者组织。</w:t>
            </w:r>
          </w:p>
        </w:tc>
        <w:tc>
          <w:tcPr>
            <w:tcW w:w="1645" w:type="dxa"/>
            <w:vAlign w:val="center"/>
          </w:tcPr>
          <w:p w14:paraId="22651BE6">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sz w:val="18"/>
                <w:szCs w:val="18"/>
              </w:rPr>
              <w:t>查阅相关文件，文件应明确设置或者指定职业卫生管理机构或者组织，并检查机构或组织工作开展情况</w:t>
            </w:r>
          </w:p>
        </w:tc>
        <w:tc>
          <w:tcPr>
            <w:tcW w:w="1385" w:type="dxa"/>
            <w:vAlign w:val="center"/>
          </w:tcPr>
          <w:p w14:paraId="4B172618">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有职业卫生管理机构成立文件，职责清晰，且各部门能够按职责分工开展工作</w:t>
            </w:r>
          </w:p>
        </w:tc>
        <w:tc>
          <w:tcPr>
            <w:tcW w:w="1401" w:type="dxa"/>
            <w:vAlign w:val="center"/>
          </w:tcPr>
          <w:p w14:paraId="08004F3D">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有职业卫生管理机构成立文件，职责较清晰，各部门基本能够按职责分工开展工作</w:t>
            </w:r>
          </w:p>
        </w:tc>
        <w:tc>
          <w:tcPr>
            <w:tcW w:w="1294" w:type="dxa"/>
            <w:vAlign w:val="center"/>
          </w:tcPr>
          <w:p w14:paraId="0D5D5CB0">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无职业卫生管理机构成立文件；或职责不清晰，未履行相关职责</w:t>
            </w:r>
          </w:p>
        </w:tc>
        <w:tc>
          <w:tcPr>
            <w:tcW w:w="1136" w:type="dxa"/>
            <w:vAlign w:val="center"/>
          </w:tcPr>
          <w:p w14:paraId="60B426D9">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lang w:val="en"/>
              </w:rPr>
              <w:t>-</w:t>
            </w:r>
          </w:p>
        </w:tc>
        <w:tc>
          <w:tcPr>
            <w:tcW w:w="425" w:type="dxa"/>
            <w:vAlign w:val="center"/>
          </w:tcPr>
          <w:p w14:paraId="6780AF04">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10</w:t>
            </w:r>
          </w:p>
        </w:tc>
        <w:tc>
          <w:tcPr>
            <w:tcW w:w="996" w:type="dxa"/>
            <w:vAlign w:val="center"/>
          </w:tcPr>
          <w:p w14:paraId="1EF4B721">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2BAC3A8C">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□基本符合</w:t>
            </w:r>
          </w:p>
          <w:p w14:paraId="6CF16DD3">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81" w:type="dxa"/>
            <w:vAlign w:val="center"/>
          </w:tcPr>
          <w:p w14:paraId="464428B1">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5FD85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67" w:type="dxa"/>
            <w:vMerge w:val="continue"/>
            <w:vAlign w:val="center"/>
          </w:tcPr>
          <w:p w14:paraId="2D7F362F">
            <w:pPr>
              <w:widowControl/>
              <w:adjustRightInd w:val="0"/>
              <w:snapToGrid w:val="0"/>
              <w:rPr>
                <w:rFonts w:hint="eastAsia" w:ascii="方正仿宋_GBK" w:hAnsi="方正仿宋_GBK" w:eastAsia="方正仿宋_GBK" w:cs="方正仿宋_GBK"/>
                <w:color w:val="auto"/>
                <w:kern w:val="0"/>
                <w:sz w:val="18"/>
                <w:szCs w:val="18"/>
              </w:rPr>
            </w:pPr>
          </w:p>
        </w:tc>
        <w:tc>
          <w:tcPr>
            <w:tcW w:w="778" w:type="dxa"/>
            <w:vAlign w:val="center"/>
          </w:tcPr>
          <w:p w14:paraId="4CCA14B8">
            <w:pPr>
              <w:tabs>
                <w:tab w:val="left" w:pos="253"/>
              </w:tabs>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2.</w:t>
            </w:r>
            <w:r>
              <w:rPr>
                <w:rFonts w:hint="eastAsia" w:ascii="方正仿宋_GBK" w:hAnsi="方正仿宋_GBK" w:eastAsia="方正仿宋_GBK" w:cs="方正仿宋_GBK"/>
                <w:color w:val="auto"/>
                <w:sz w:val="18"/>
                <w:szCs w:val="18"/>
              </w:rPr>
              <w:t>管理人员</w:t>
            </w:r>
          </w:p>
        </w:tc>
        <w:tc>
          <w:tcPr>
            <w:tcW w:w="3884" w:type="dxa"/>
            <w:vAlign w:val="center"/>
          </w:tcPr>
          <w:p w14:paraId="0B614ED4">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配备专职职业卫生管理人员。职业病危害严重或劳动者超过100人的企业应配备专职职业卫生管理人员。</w:t>
            </w:r>
          </w:p>
        </w:tc>
        <w:tc>
          <w:tcPr>
            <w:tcW w:w="1645" w:type="dxa"/>
            <w:vAlign w:val="center"/>
          </w:tcPr>
          <w:p w14:paraId="34B44190">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查阅管理人员任命文件，并核实管理人员的工作情况</w:t>
            </w:r>
          </w:p>
        </w:tc>
        <w:tc>
          <w:tcPr>
            <w:tcW w:w="1385" w:type="dxa"/>
            <w:vAlign w:val="center"/>
          </w:tcPr>
          <w:p w14:paraId="3E678A18">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有管理人员任命文件，按照要求开展职业卫生管理工作</w:t>
            </w:r>
          </w:p>
        </w:tc>
        <w:tc>
          <w:tcPr>
            <w:tcW w:w="1401" w:type="dxa"/>
            <w:vAlign w:val="center"/>
          </w:tcPr>
          <w:p w14:paraId="3DCE0A9A">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有管理人员任命文件，基本按照要求开展职业卫生管理工作</w:t>
            </w:r>
          </w:p>
        </w:tc>
        <w:tc>
          <w:tcPr>
            <w:tcW w:w="1294" w:type="dxa"/>
            <w:vAlign w:val="center"/>
          </w:tcPr>
          <w:p w14:paraId="57A959A3">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无管理人员任命文件；或未按要求开展职业卫生管理工作</w:t>
            </w:r>
          </w:p>
        </w:tc>
        <w:tc>
          <w:tcPr>
            <w:tcW w:w="1136" w:type="dxa"/>
            <w:vAlign w:val="center"/>
          </w:tcPr>
          <w:p w14:paraId="116D28BC">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25" w:type="dxa"/>
            <w:vAlign w:val="center"/>
          </w:tcPr>
          <w:p w14:paraId="44CCC90C">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10</w:t>
            </w:r>
          </w:p>
        </w:tc>
        <w:tc>
          <w:tcPr>
            <w:tcW w:w="996" w:type="dxa"/>
            <w:vAlign w:val="center"/>
          </w:tcPr>
          <w:p w14:paraId="07EE4D34">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24A2CD39">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□基本符合</w:t>
            </w:r>
          </w:p>
          <w:p w14:paraId="5E172B25">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81" w:type="dxa"/>
            <w:vAlign w:val="center"/>
          </w:tcPr>
          <w:p w14:paraId="466E871F">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69874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67" w:type="dxa"/>
            <w:vMerge w:val="continue"/>
            <w:vAlign w:val="center"/>
          </w:tcPr>
          <w:p w14:paraId="60A4CE07">
            <w:pPr>
              <w:widowControl/>
              <w:adjustRightInd w:val="0"/>
              <w:snapToGrid w:val="0"/>
              <w:rPr>
                <w:rFonts w:hint="eastAsia" w:ascii="方正仿宋_GBK" w:hAnsi="方正仿宋_GBK" w:eastAsia="方正仿宋_GBK" w:cs="方正仿宋_GBK"/>
                <w:color w:val="auto"/>
                <w:kern w:val="0"/>
                <w:sz w:val="18"/>
                <w:szCs w:val="18"/>
              </w:rPr>
            </w:pPr>
          </w:p>
        </w:tc>
        <w:tc>
          <w:tcPr>
            <w:tcW w:w="778" w:type="dxa"/>
            <w:vAlign w:val="center"/>
          </w:tcPr>
          <w:p w14:paraId="7C0BD3A3">
            <w:pPr>
              <w:tabs>
                <w:tab w:val="left" w:pos="253"/>
              </w:tabs>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3.</w:t>
            </w:r>
            <w:r>
              <w:rPr>
                <w:rFonts w:hint="eastAsia" w:ascii="方正仿宋_GBK" w:hAnsi="方正仿宋_GBK" w:eastAsia="方正仿宋_GBK" w:cs="方正仿宋_GBK"/>
                <w:color w:val="auto"/>
                <w:sz w:val="18"/>
                <w:szCs w:val="18"/>
              </w:rPr>
              <w:t>防治计划和实施方案</w:t>
            </w:r>
          </w:p>
        </w:tc>
        <w:tc>
          <w:tcPr>
            <w:tcW w:w="3884" w:type="dxa"/>
            <w:vAlign w:val="center"/>
          </w:tcPr>
          <w:p w14:paraId="0C6C8312">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制定年度职业病防治计划和实施方案。</w:t>
            </w:r>
          </w:p>
        </w:tc>
        <w:tc>
          <w:tcPr>
            <w:tcW w:w="1645" w:type="dxa"/>
            <w:vAlign w:val="center"/>
          </w:tcPr>
          <w:p w14:paraId="606053D2">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查阅职业病防治计划和实施方案，查看其可行性以及各项工作落实情况等</w:t>
            </w:r>
          </w:p>
        </w:tc>
        <w:tc>
          <w:tcPr>
            <w:tcW w:w="1385" w:type="dxa"/>
            <w:vAlign w:val="center"/>
          </w:tcPr>
          <w:p w14:paraId="49A6D6EA">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制定有防治计划和实施方案，具有可操作性，并按计划落实</w:t>
            </w:r>
          </w:p>
        </w:tc>
        <w:tc>
          <w:tcPr>
            <w:tcW w:w="1401" w:type="dxa"/>
            <w:vAlign w:val="center"/>
          </w:tcPr>
          <w:p w14:paraId="0E48BC43">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制定有防治计划和实施方案，具有一定的可操作性，基本按计划落实</w:t>
            </w:r>
          </w:p>
        </w:tc>
        <w:tc>
          <w:tcPr>
            <w:tcW w:w="1294" w:type="dxa"/>
            <w:vAlign w:val="center"/>
          </w:tcPr>
          <w:p w14:paraId="7B7AA63F">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未制定防治计划和实施方案，或未按计划落实</w:t>
            </w:r>
          </w:p>
        </w:tc>
        <w:tc>
          <w:tcPr>
            <w:tcW w:w="1136" w:type="dxa"/>
            <w:vAlign w:val="center"/>
          </w:tcPr>
          <w:p w14:paraId="212173B6">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25" w:type="dxa"/>
            <w:vAlign w:val="center"/>
          </w:tcPr>
          <w:p w14:paraId="5A4AC982">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10</w:t>
            </w:r>
          </w:p>
        </w:tc>
        <w:tc>
          <w:tcPr>
            <w:tcW w:w="996" w:type="dxa"/>
            <w:vAlign w:val="center"/>
          </w:tcPr>
          <w:p w14:paraId="39D773E4">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1F23F603">
            <w:pPr>
              <w:adjustRightInd w:val="0"/>
              <w:snapToGrid w:val="0"/>
              <w:jc w:val="left"/>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sz w:val="18"/>
                <w:szCs w:val="18"/>
              </w:rPr>
              <w:t>□基本符合□不符合</w:t>
            </w:r>
          </w:p>
        </w:tc>
        <w:tc>
          <w:tcPr>
            <w:tcW w:w="381" w:type="dxa"/>
            <w:vAlign w:val="center"/>
          </w:tcPr>
          <w:p w14:paraId="5C156878">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681C0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67" w:type="dxa"/>
            <w:vMerge w:val="continue"/>
            <w:vAlign w:val="center"/>
          </w:tcPr>
          <w:p w14:paraId="04863230">
            <w:pPr>
              <w:widowControl/>
              <w:adjustRightInd w:val="0"/>
              <w:snapToGrid w:val="0"/>
              <w:rPr>
                <w:rFonts w:hint="eastAsia" w:ascii="方正仿宋_GBK" w:hAnsi="方正仿宋_GBK" w:eastAsia="方正仿宋_GBK" w:cs="方正仿宋_GBK"/>
                <w:color w:val="auto"/>
                <w:kern w:val="0"/>
                <w:sz w:val="18"/>
                <w:szCs w:val="18"/>
              </w:rPr>
            </w:pPr>
          </w:p>
        </w:tc>
        <w:tc>
          <w:tcPr>
            <w:tcW w:w="778" w:type="dxa"/>
            <w:vAlign w:val="center"/>
          </w:tcPr>
          <w:p w14:paraId="3F367844">
            <w:pPr>
              <w:tabs>
                <w:tab w:val="left" w:pos="253"/>
              </w:tabs>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4.</w:t>
            </w:r>
            <w:r>
              <w:rPr>
                <w:rFonts w:hint="eastAsia" w:ascii="方正仿宋_GBK" w:hAnsi="方正仿宋_GBK" w:eastAsia="方正仿宋_GBK" w:cs="方正仿宋_GBK"/>
                <w:color w:val="auto"/>
                <w:sz w:val="18"/>
                <w:szCs w:val="18"/>
              </w:rPr>
              <w:t>制度和操作规程</w:t>
            </w:r>
          </w:p>
        </w:tc>
        <w:tc>
          <w:tcPr>
            <w:tcW w:w="3884" w:type="dxa"/>
            <w:vAlign w:val="center"/>
          </w:tcPr>
          <w:p w14:paraId="23DC51DF">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建立健全职业卫生管理制度和操作规程。具体包括：</w:t>
            </w:r>
          </w:p>
          <w:p w14:paraId="738E5EAB">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(1)职业病危害防治责任制度；</w:t>
            </w:r>
          </w:p>
          <w:p w14:paraId="5CC2B3C2">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(2)职业病危害警示与告知制度；</w:t>
            </w:r>
          </w:p>
          <w:p w14:paraId="301EB57C">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(3)职业病危害项目申报制度；</w:t>
            </w:r>
          </w:p>
          <w:p w14:paraId="69B44B2E">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(4)职业病防治宣传教育培训制度；</w:t>
            </w:r>
          </w:p>
          <w:p w14:paraId="661E93C7">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(5)职业病防护设施维护检修制度；</w:t>
            </w:r>
          </w:p>
          <w:p w14:paraId="56C4EB11">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(6)职业病防护用品管理制度；</w:t>
            </w:r>
          </w:p>
          <w:p w14:paraId="6CE69E3F">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(7)职业病危害监测及评价管理制度；</w:t>
            </w:r>
          </w:p>
          <w:p w14:paraId="2B2FE6DF">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(8)建设项目职业病防护设施“三同时”管理制度；</w:t>
            </w:r>
          </w:p>
          <w:p w14:paraId="3F272A2D">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(9)劳动者职业健康监护及其档案管理制度；</w:t>
            </w:r>
          </w:p>
          <w:p w14:paraId="1F9C7014">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(10)职业病危害事故处置与报告制度；</w:t>
            </w:r>
          </w:p>
          <w:p w14:paraId="015C23BB">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(11)职业病危害应急救援与管理制度；</w:t>
            </w:r>
          </w:p>
          <w:p w14:paraId="441D4C02">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(12)岗位职业卫生操作规程；</w:t>
            </w:r>
          </w:p>
          <w:p w14:paraId="660494ED">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(13)法律、法规、规章规定的其他职业病防治制度。</w:t>
            </w:r>
          </w:p>
        </w:tc>
        <w:tc>
          <w:tcPr>
            <w:tcW w:w="1645" w:type="dxa"/>
            <w:vAlign w:val="center"/>
          </w:tcPr>
          <w:p w14:paraId="642880C5">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查阅制度、操作规程等文件，制度应明确责任部门和管理要求，且符合自身特点，满足管理要求</w:t>
            </w:r>
          </w:p>
        </w:tc>
        <w:tc>
          <w:tcPr>
            <w:tcW w:w="1385" w:type="dxa"/>
            <w:vAlign w:val="center"/>
          </w:tcPr>
          <w:p w14:paraId="4C254CC7">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制度齐全；职责清晰；符合单位自身特点，具有可操作性</w:t>
            </w:r>
          </w:p>
        </w:tc>
        <w:tc>
          <w:tcPr>
            <w:tcW w:w="1401" w:type="dxa"/>
            <w:vAlign w:val="center"/>
          </w:tcPr>
          <w:p w14:paraId="282CD7DD">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制度基本齐全(缺少1～3项)；职责较清晰；具有一定的可操作性</w:t>
            </w:r>
          </w:p>
        </w:tc>
        <w:tc>
          <w:tcPr>
            <w:tcW w:w="1294" w:type="dxa"/>
            <w:vAlign w:val="center"/>
          </w:tcPr>
          <w:p w14:paraId="037316D7">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制度不齐全(缺少4项及以上)；或职责不清晰，或不具有可操作性</w:t>
            </w:r>
          </w:p>
        </w:tc>
        <w:tc>
          <w:tcPr>
            <w:tcW w:w="1136" w:type="dxa"/>
            <w:vAlign w:val="center"/>
          </w:tcPr>
          <w:p w14:paraId="6F4F350C">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25" w:type="dxa"/>
            <w:vAlign w:val="center"/>
          </w:tcPr>
          <w:p w14:paraId="7B171797">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15</w:t>
            </w:r>
          </w:p>
        </w:tc>
        <w:tc>
          <w:tcPr>
            <w:tcW w:w="996" w:type="dxa"/>
            <w:vAlign w:val="center"/>
          </w:tcPr>
          <w:p w14:paraId="0604796B">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0F9EBD23">
            <w:pPr>
              <w:adjustRightInd w:val="0"/>
              <w:snapToGrid w:val="0"/>
              <w:jc w:val="left"/>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sz w:val="18"/>
                <w:szCs w:val="18"/>
              </w:rPr>
              <w:t>□基本符合□不符合</w:t>
            </w:r>
          </w:p>
        </w:tc>
        <w:tc>
          <w:tcPr>
            <w:tcW w:w="381" w:type="dxa"/>
            <w:vAlign w:val="center"/>
          </w:tcPr>
          <w:p w14:paraId="10319720">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73D31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67" w:type="dxa"/>
            <w:vMerge w:val="continue"/>
            <w:vAlign w:val="center"/>
          </w:tcPr>
          <w:p w14:paraId="320C7AC0">
            <w:pPr>
              <w:widowControl/>
              <w:adjustRightInd w:val="0"/>
              <w:snapToGrid w:val="0"/>
              <w:rPr>
                <w:rFonts w:hint="eastAsia" w:ascii="方正仿宋_GBK" w:hAnsi="方正仿宋_GBK" w:eastAsia="方正仿宋_GBK" w:cs="方正仿宋_GBK"/>
                <w:color w:val="auto"/>
                <w:kern w:val="0"/>
                <w:sz w:val="18"/>
                <w:szCs w:val="18"/>
              </w:rPr>
            </w:pPr>
          </w:p>
        </w:tc>
        <w:tc>
          <w:tcPr>
            <w:tcW w:w="778" w:type="dxa"/>
            <w:vAlign w:val="center"/>
          </w:tcPr>
          <w:p w14:paraId="492435D3">
            <w:pPr>
              <w:tabs>
                <w:tab w:val="left" w:pos="253"/>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5.职业卫生档案</w:t>
            </w:r>
          </w:p>
        </w:tc>
        <w:tc>
          <w:tcPr>
            <w:tcW w:w="3884" w:type="dxa"/>
            <w:vAlign w:val="center"/>
          </w:tcPr>
          <w:p w14:paraId="7ED34BEB">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建立健全职业卫生档案和劳动者健康监护档案。具体包括：</w:t>
            </w:r>
          </w:p>
          <w:p w14:paraId="4218E0D4">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(1)建设项目职业病防护设施“三同时”档案；</w:t>
            </w:r>
          </w:p>
          <w:p w14:paraId="5415A5C8">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(2)职业卫生管理档案；</w:t>
            </w:r>
          </w:p>
          <w:p w14:paraId="4CE8EF3E">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(3)职业卫生宣传培训档案；</w:t>
            </w:r>
          </w:p>
          <w:p w14:paraId="0CDB5D06">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(4)职业病危害因素监测与检测评价档案；</w:t>
            </w:r>
          </w:p>
          <w:p w14:paraId="704B043D">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(5)用人单位职业健康监护管理档案；</w:t>
            </w:r>
          </w:p>
          <w:p w14:paraId="22F4004A">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(6)劳动者个人职业健康监护档案；</w:t>
            </w:r>
          </w:p>
          <w:p w14:paraId="034BC471">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(7)法律、行政法规、规章要求的其他资料文件。</w:t>
            </w:r>
          </w:p>
        </w:tc>
        <w:tc>
          <w:tcPr>
            <w:tcW w:w="1645" w:type="dxa"/>
            <w:vAlign w:val="center"/>
          </w:tcPr>
          <w:p w14:paraId="6F320EDE">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检查档案内容的完整性和符合性</w:t>
            </w:r>
          </w:p>
        </w:tc>
        <w:tc>
          <w:tcPr>
            <w:tcW w:w="1385" w:type="dxa"/>
            <w:vAlign w:val="center"/>
          </w:tcPr>
          <w:p w14:paraId="514B7CFB">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档案种类齐全、内容完整，符合职业卫生档案管理要求</w:t>
            </w:r>
          </w:p>
        </w:tc>
        <w:tc>
          <w:tcPr>
            <w:tcW w:w="1401" w:type="dxa"/>
            <w:vAlign w:val="center"/>
          </w:tcPr>
          <w:p w14:paraId="0637D308">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档案种类基本齐全(缺少1～2项)、内容基本完整，基本符合档案管理要求</w:t>
            </w:r>
          </w:p>
        </w:tc>
        <w:tc>
          <w:tcPr>
            <w:tcW w:w="1294" w:type="dxa"/>
            <w:vAlign w:val="center"/>
          </w:tcPr>
          <w:p w14:paraId="1FD914E0">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档案种类不齐全(缺少3项及以上)，内容缺项较多，不符合档案管理要求</w:t>
            </w:r>
          </w:p>
        </w:tc>
        <w:tc>
          <w:tcPr>
            <w:tcW w:w="1136" w:type="dxa"/>
            <w:vAlign w:val="center"/>
          </w:tcPr>
          <w:p w14:paraId="36E3804D">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25" w:type="dxa"/>
            <w:vAlign w:val="center"/>
          </w:tcPr>
          <w:p w14:paraId="18D9B951">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20</w:t>
            </w:r>
          </w:p>
        </w:tc>
        <w:tc>
          <w:tcPr>
            <w:tcW w:w="996" w:type="dxa"/>
            <w:vAlign w:val="center"/>
          </w:tcPr>
          <w:p w14:paraId="3E313143">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543E5587">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□基本符合□不符合</w:t>
            </w:r>
          </w:p>
        </w:tc>
        <w:tc>
          <w:tcPr>
            <w:tcW w:w="381" w:type="dxa"/>
            <w:vAlign w:val="center"/>
          </w:tcPr>
          <w:p w14:paraId="4F00C07A">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26E4A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67" w:type="dxa"/>
            <w:vAlign w:val="center"/>
          </w:tcPr>
          <w:p w14:paraId="4A478651">
            <w:pPr>
              <w:tabs>
                <w:tab w:val="left" w:pos="253"/>
              </w:tabs>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sz w:val="18"/>
                <w:szCs w:val="18"/>
              </w:rPr>
              <w:t>二、职业病危害项目申报</w:t>
            </w:r>
          </w:p>
        </w:tc>
        <w:tc>
          <w:tcPr>
            <w:tcW w:w="778" w:type="dxa"/>
            <w:vAlign w:val="center"/>
          </w:tcPr>
          <w:p w14:paraId="162CD94E">
            <w:pPr>
              <w:tabs>
                <w:tab w:val="left" w:pos="253"/>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6.职业病危害项目申报</w:t>
            </w:r>
          </w:p>
        </w:tc>
        <w:tc>
          <w:tcPr>
            <w:tcW w:w="3884" w:type="dxa"/>
            <w:vAlign w:val="center"/>
          </w:tcPr>
          <w:p w14:paraId="58921B16">
            <w:pPr>
              <w:widowControl/>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(1)工作场所存在职业病目录所列职业病的危害因素的，应当及时、如实向所在地卫生健康主管部门申报危害项目，接受监督。</w:t>
            </w:r>
          </w:p>
          <w:p w14:paraId="4C71328C">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sz w:val="18"/>
                <w:szCs w:val="18"/>
              </w:rPr>
              <w:t>(2)用人单位发生新、改、扩建、技术改造及其他重大变化时，及时进行变更申报。</w:t>
            </w:r>
          </w:p>
        </w:tc>
        <w:tc>
          <w:tcPr>
            <w:tcW w:w="1645" w:type="dxa"/>
            <w:vAlign w:val="center"/>
          </w:tcPr>
          <w:p w14:paraId="26BB9E1C">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查看申报回执或查询申报系统；查看申报内容与实际是否相符</w:t>
            </w:r>
          </w:p>
        </w:tc>
        <w:tc>
          <w:tcPr>
            <w:tcW w:w="1385" w:type="dxa"/>
            <w:vAlign w:val="center"/>
          </w:tcPr>
          <w:p w14:paraId="26AEDCDA">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按要求进行申报或变更申报，申报内容与实际相符</w:t>
            </w:r>
          </w:p>
        </w:tc>
        <w:tc>
          <w:tcPr>
            <w:tcW w:w="1401" w:type="dxa"/>
            <w:vAlign w:val="center"/>
          </w:tcPr>
          <w:p w14:paraId="56DFFFFF">
            <w:pPr>
              <w:adjustRightInd w:val="0"/>
              <w:snapToGrid w:val="0"/>
              <w:jc w:val="center"/>
              <w:rPr>
                <w:rFonts w:hint="eastAsia" w:ascii="方正仿宋_GBK" w:hAnsi="方正仿宋_GBK" w:eastAsia="方正仿宋_GBK" w:cs="方正仿宋_GBK"/>
                <w:color w:val="auto"/>
                <w:sz w:val="18"/>
                <w:szCs w:val="18"/>
                <w:lang w:val="en"/>
              </w:rPr>
            </w:pPr>
            <w:r>
              <w:rPr>
                <w:rFonts w:hint="eastAsia" w:ascii="方正仿宋_GBK" w:hAnsi="方正仿宋_GBK" w:eastAsia="方正仿宋_GBK" w:cs="方正仿宋_GBK"/>
                <w:color w:val="auto"/>
                <w:kern w:val="0"/>
                <w:sz w:val="18"/>
                <w:szCs w:val="18"/>
                <w:lang w:val="en"/>
              </w:rPr>
              <w:t>-</w:t>
            </w:r>
          </w:p>
        </w:tc>
        <w:tc>
          <w:tcPr>
            <w:tcW w:w="1294" w:type="dxa"/>
            <w:vAlign w:val="center"/>
          </w:tcPr>
          <w:p w14:paraId="04D23E29">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未按要求进行申报或变更申报；或申报内容与实际严重不符</w:t>
            </w:r>
          </w:p>
        </w:tc>
        <w:tc>
          <w:tcPr>
            <w:tcW w:w="1136" w:type="dxa"/>
            <w:vAlign w:val="center"/>
          </w:tcPr>
          <w:p w14:paraId="7FE48828">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25" w:type="dxa"/>
            <w:vAlign w:val="center"/>
          </w:tcPr>
          <w:p w14:paraId="678D4960">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w:t>
            </w:r>
          </w:p>
        </w:tc>
        <w:tc>
          <w:tcPr>
            <w:tcW w:w="996" w:type="dxa"/>
            <w:vAlign w:val="center"/>
          </w:tcPr>
          <w:p w14:paraId="757B50CB">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267DCC99">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81" w:type="dxa"/>
            <w:vAlign w:val="center"/>
          </w:tcPr>
          <w:p w14:paraId="1145DB8B">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2EACD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67" w:hRule="atLeast"/>
        </w:trPr>
        <w:tc>
          <w:tcPr>
            <w:tcW w:w="667" w:type="dxa"/>
            <w:vMerge w:val="restart"/>
            <w:vAlign w:val="center"/>
          </w:tcPr>
          <w:p w14:paraId="120B35BD">
            <w:pPr>
              <w:tabs>
                <w:tab w:val="left" w:pos="253"/>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三、建设项目职业病防护设施“三同时”</w:t>
            </w:r>
          </w:p>
        </w:tc>
        <w:tc>
          <w:tcPr>
            <w:tcW w:w="778" w:type="dxa"/>
            <w:vAlign w:val="center"/>
          </w:tcPr>
          <w:p w14:paraId="70F78887">
            <w:pPr>
              <w:tabs>
                <w:tab w:val="left" w:pos="253"/>
              </w:tabs>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7.预评价</w:t>
            </w:r>
          </w:p>
        </w:tc>
        <w:tc>
          <w:tcPr>
            <w:tcW w:w="3884" w:type="dxa"/>
            <w:vAlign w:val="center"/>
          </w:tcPr>
          <w:p w14:paraId="5273265F">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在建设项目可行性论证阶段进行职业病危害预评价，编制预评价报告，并按要求对职业病危害预评价报告进行评审及修改完善，形成工作过程报告。</w:t>
            </w:r>
          </w:p>
        </w:tc>
        <w:tc>
          <w:tcPr>
            <w:tcW w:w="1645" w:type="dxa"/>
            <w:vAlign w:val="center"/>
          </w:tcPr>
          <w:p w14:paraId="7BA678E9">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查阅近</w:t>
            </w:r>
            <w:r>
              <w:rPr>
                <w:rFonts w:hint="eastAsia" w:ascii="方正仿宋_GBK" w:hAnsi="方正仿宋_GBK" w:eastAsia="方正仿宋_GBK" w:cs="方正仿宋_GBK"/>
                <w:color w:val="auto"/>
                <w:kern w:val="0"/>
                <w:sz w:val="18"/>
                <w:szCs w:val="18"/>
              </w:rPr>
              <w:t>3</w:t>
            </w:r>
            <w:r>
              <w:rPr>
                <w:rFonts w:hint="eastAsia" w:ascii="方正仿宋_GBK" w:hAnsi="方正仿宋_GBK" w:eastAsia="方正仿宋_GBK" w:cs="方正仿宋_GBK"/>
                <w:color w:val="auto"/>
                <w:sz w:val="18"/>
                <w:szCs w:val="18"/>
              </w:rPr>
              <w:t>年建设项目清单及职业病危害预评价开展情况</w:t>
            </w:r>
          </w:p>
        </w:tc>
        <w:tc>
          <w:tcPr>
            <w:tcW w:w="1385" w:type="dxa"/>
            <w:vAlign w:val="center"/>
          </w:tcPr>
          <w:p w14:paraId="485F4F55">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按要求编制职业病危害预评价报告，组织</w:t>
            </w:r>
            <w:r>
              <w:rPr>
                <w:rFonts w:hint="eastAsia" w:ascii="方正仿宋_GBK" w:hAnsi="方正仿宋_GBK" w:eastAsia="方正仿宋_GBK" w:cs="方正仿宋_GBK"/>
                <w:color w:val="auto"/>
                <w:kern w:val="0"/>
                <w:sz w:val="18"/>
                <w:szCs w:val="18"/>
              </w:rPr>
              <w:t>评审及修改完善</w:t>
            </w:r>
            <w:r>
              <w:rPr>
                <w:rFonts w:hint="eastAsia" w:ascii="方正仿宋_GBK" w:hAnsi="方正仿宋_GBK" w:eastAsia="方正仿宋_GBK" w:cs="方正仿宋_GBK"/>
                <w:color w:val="auto"/>
                <w:sz w:val="18"/>
                <w:szCs w:val="18"/>
              </w:rPr>
              <w:t>，并形成工作过程报告</w:t>
            </w:r>
          </w:p>
        </w:tc>
        <w:tc>
          <w:tcPr>
            <w:tcW w:w="1401" w:type="dxa"/>
            <w:shd w:val="clear" w:color="auto" w:fill="auto"/>
            <w:vAlign w:val="center"/>
          </w:tcPr>
          <w:p w14:paraId="10D1AF1C">
            <w:pPr>
              <w:adjustRightInd w:val="0"/>
              <w:snapToGrid w:val="0"/>
              <w:rPr>
                <w:rFonts w:hint="eastAsia" w:ascii="方正仿宋_GBK" w:hAnsi="方正仿宋_GBK" w:eastAsia="方正仿宋_GBK" w:cs="方正仿宋_GBK"/>
                <w:color w:val="auto"/>
                <w:sz w:val="18"/>
                <w:szCs w:val="18"/>
                <w:lang w:val="en"/>
              </w:rPr>
            </w:pPr>
            <w:r>
              <w:rPr>
                <w:rFonts w:hint="eastAsia" w:ascii="方正仿宋_GBK" w:hAnsi="方正仿宋_GBK" w:eastAsia="方正仿宋_GBK" w:cs="方正仿宋_GBK"/>
                <w:color w:val="auto"/>
                <w:sz w:val="18"/>
                <w:szCs w:val="18"/>
              </w:rPr>
              <w:t>按要求编制职业病危害预评价报告，但未进行评审及修改完善，或未形成工作过程报告</w:t>
            </w:r>
          </w:p>
        </w:tc>
        <w:tc>
          <w:tcPr>
            <w:tcW w:w="1294" w:type="dxa"/>
            <w:vAlign w:val="center"/>
          </w:tcPr>
          <w:p w14:paraId="522BE32A">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未按要求编制职业病危害预评价报告</w:t>
            </w:r>
          </w:p>
        </w:tc>
        <w:tc>
          <w:tcPr>
            <w:tcW w:w="1136" w:type="dxa"/>
            <w:vAlign w:val="center"/>
          </w:tcPr>
          <w:p w14:paraId="465B231A">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sz w:val="18"/>
                <w:szCs w:val="18"/>
              </w:rPr>
              <w:t>近3年</w:t>
            </w:r>
            <w:r>
              <w:rPr>
                <w:rFonts w:hint="eastAsia" w:ascii="方正仿宋_GBK" w:hAnsi="方正仿宋_GBK" w:eastAsia="方正仿宋_GBK" w:cs="方正仿宋_GBK"/>
                <w:color w:val="auto"/>
                <w:kern w:val="0"/>
                <w:sz w:val="18"/>
                <w:szCs w:val="18"/>
              </w:rPr>
              <w:t>无建设项目</w:t>
            </w:r>
          </w:p>
        </w:tc>
        <w:tc>
          <w:tcPr>
            <w:tcW w:w="425" w:type="dxa"/>
            <w:vAlign w:val="center"/>
          </w:tcPr>
          <w:p w14:paraId="6B763499">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15</w:t>
            </w:r>
          </w:p>
        </w:tc>
        <w:tc>
          <w:tcPr>
            <w:tcW w:w="996" w:type="dxa"/>
            <w:vAlign w:val="center"/>
          </w:tcPr>
          <w:p w14:paraId="6B446FA4">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37D9F838">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□基本符合</w:t>
            </w:r>
          </w:p>
          <w:p w14:paraId="09462197">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p w14:paraId="7EE3A997">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□合理缺项</w:t>
            </w:r>
          </w:p>
        </w:tc>
        <w:tc>
          <w:tcPr>
            <w:tcW w:w="381" w:type="dxa"/>
            <w:vAlign w:val="center"/>
          </w:tcPr>
          <w:p w14:paraId="0A52527B">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7345C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67" w:type="dxa"/>
            <w:vMerge w:val="continue"/>
            <w:vAlign w:val="center"/>
          </w:tcPr>
          <w:p w14:paraId="03F352EF">
            <w:pPr>
              <w:tabs>
                <w:tab w:val="left" w:pos="253"/>
              </w:tabs>
              <w:adjustRightInd w:val="0"/>
              <w:snapToGrid w:val="0"/>
              <w:rPr>
                <w:rFonts w:hint="eastAsia" w:ascii="方正仿宋_GBK" w:hAnsi="方正仿宋_GBK" w:eastAsia="方正仿宋_GBK" w:cs="方正仿宋_GBK"/>
                <w:color w:val="auto"/>
                <w:sz w:val="18"/>
                <w:szCs w:val="18"/>
              </w:rPr>
            </w:pPr>
          </w:p>
        </w:tc>
        <w:tc>
          <w:tcPr>
            <w:tcW w:w="778" w:type="dxa"/>
            <w:vAlign w:val="center"/>
          </w:tcPr>
          <w:p w14:paraId="49BDB251">
            <w:pPr>
              <w:tabs>
                <w:tab w:val="left" w:pos="320"/>
              </w:tabs>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8.</w:t>
            </w:r>
            <w:r>
              <w:rPr>
                <w:rFonts w:hint="eastAsia" w:ascii="方正仿宋_GBK" w:hAnsi="方正仿宋_GBK" w:eastAsia="方正仿宋_GBK" w:cs="方正仿宋_GBK"/>
                <w:color w:val="auto"/>
                <w:sz w:val="18"/>
                <w:szCs w:val="18"/>
              </w:rPr>
              <w:t>职业病防护设施设计</w:t>
            </w:r>
          </w:p>
        </w:tc>
        <w:tc>
          <w:tcPr>
            <w:tcW w:w="3884" w:type="dxa"/>
            <w:vAlign w:val="center"/>
          </w:tcPr>
          <w:p w14:paraId="3AB7BCD5">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在施工前按照职业病防治有关法律、法规、规章和标准的要求，进行职业病防护设施设计</w:t>
            </w:r>
            <w:r>
              <w:rPr>
                <w:rFonts w:hint="eastAsia" w:ascii="方正仿宋_GBK" w:hAnsi="方正仿宋_GBK" w:eastAsia="方正仿宋_GBK" w:cs="方正仿宋_GBK"/>
                <w:color w:val="auto"/>
                <w:kern w:val="0"/>
                <w:sz w:val="18"/>
                <w:szCs w:val="18"/>
              </w:rPr>
              <w:t>，并按要求对职业病防护设施设计进行评审及修改完善，形成工作过程报告。</w:t>
            </w:r>
          </w:p>
        </w:tc>
        <w:tc>
          <w:tcPr>
            <w:tcW w:w="1645" w:type="dxa"/>
            <w:vAlign w:val="center"/>
          </w:tcPr>
          <w:p w14:paraId="5F59C255">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查阅近</w:t>
            </w:r>
            <w:r>
              <w:rPr>
                <w:rFonts w:hint="eastAsia" w:ascii="方正仿宋_GBK" w:hAnsi="方正仿宋_GBK" w:eastAsia="方正仿宋_GBK" w:cs="方正仿宋_GBK"/>
                <w:color w:val="auto"/>
                <w:kern w:val="0"/>
                <w:sz w:val="18"/>
                <w:szCs w:val="18"/>
              </w:rPr>
              <w:t>3</w:t>
            </w:r>
            <w:r>
              <w:rPr>
                <w:rFonts w:hint="eastAsia" w:ascii="方正仿宋_GBK" w:hAnsi="方正仿宋_GBK" w:eastAsia="方正仿宋_GBK" w:cs="方正仿宋_GBK"/>
                <w:color w:val="auto"/>
                <w:sz w:val="18"/>
                <w:szCs w:val="18"/>
              </w:rPr>
              <w:t>年建设项目清单及职业病防护设施设计开展情况</w:t>
            </w:r>
          </w:p>
        </w:tc>
        <w:tc>
          <w:tcPr>
            <w:tcW w:w="1385" w:type="dxa"/>
            <w:vAlign w:val="center"/>
          </w:tcPr>
          <w:p w14:paraId="05B5D2F7">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按要求编制职业病防护设施设计，，组织</w:t>
            </w:r>
            <w:r>
              <w:rPr>
                <w:rFonts w:hint="eastAsia" w:ascii="方正仿宋_GBK" w:hAnsi="方正仿宋_GBK" w:eastAsia="方正仿宋_GBK" w:cs="方正仿宋_GBK"/>
                <w:color w:val="auto"/>
                <w:kern w:val="0"/>
                <w:sz w:val="18"/>
                <w:szCs w:val="18"/>
              </w:rPr>
              <w:t>评审及修改完善</w:t>
            </w:r>
            <w:r>
              <w:rPr>
                <w:rFonts w:hint="eastAsia" w:ascii="方正仿宋_GBK" w:hAnsi="方正仿宋_GBK" w:eastAsia="方正仿宋_GBK" w:cs="方正仿宋_GBK"/>
                <w:color w:val="auto"/>
                <w:sz w:val="18"/>
                <w:szCs w:val="18"/>
              </w:rPr>
              <w:t>，并形成工作过程报告</w:t>
            </w:r>
          </w:p>
        </w:tc>
        <w:tc>
          <w:tcPr>
            <w:tcW w:w="1401" w:type="dxa"/>
            <w:shd w:val="clear" w:color="auto" w:fill="auto"/>
            <w:vAlign w:val="center"/>
          </w:tcPr>
          <w:p w14:paraId="59D8C8FF">
            <w:pPr>
              <w:adjustRightInd w:val="0"/>
              <w:snapToGrid w:val="0"/>
              <w:rPr>
                <w:rFonts w:hint="eastAsia" w:ascii="方正仿宋_GBK" w:hAnsi="方正仿宋_GBK" w:eastAsia="方正仿宋_GBK" w:cs="方正仿宋_GBK"/>
                <w:color w:val="auto"/>
                <w:sz w:val="18"/>
                <w:szCs w:val="18"/>
                <w:lang w:val="en"/>
              </w:rPr>
            </w:pPr>
            <w:r>
              <w:rPr>
                <w:rFonts w:hint="eastAsia" w:ascii="方正仿宋_GBK" w:hAnsi="方正仿宋_GBK" w:eastAsia="方正仿宋_GBK" w:cs="方正仿宋_GBK"/>
                <w:color w:val="auto"/>
                <w:sz w:val="18"/>
                <w:szCs w:val="18"/>
              </w:rPr>
              <w:t>按要求编制职业病防护设施设计，但未进行评审及修改完善，或未形成工作过程报告</w:t>
            </w:r>
          </w:p>
        </w:tc>
        <w:tc>
          <w:tcPr>
            <w:tcW w:w="1294" w:type="dxa"/>
            <w:vAlign w:val="center"/>
          </w:tcPr>
          <w:p w14:paraId="16338984">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未按要求编制职业病防护设施设计</w:t>
            </w:r>
          </w:p>
        </w:tc>
        <w:tc>
          <w:tcPr>
            <w:tcW w:w="1136" w:type="dxa"/>
            <w:vAlign w:val="center"/>
          </w:tcPr>
          <w:p w14:paraId="7A4F4D21">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sz w:val="18"/>
                <w:szCs w:val="18"/>
              </w:rPr>
              <w:t>近3年</w:t>
            </w:r>
            <w:r>
              <w:rPr>
                <w:rFonts w:hint="eastAsia" w:ascii="方正仿宋_GBK" w:hAnsi="方正仿宋_GBK" w:eastAsia="方正仿宋_GBK" w:cs="方正仿宋_GBK"/>
                <w:color w:val="auto"/>
                <w:kern w:val="0"/>
                <w:sz w:val="18"/>
                <w:szCs w:val="18"/>
              </w:rPr>
              <w:t>无建设项目</w:t>
            </w:r>
          </w:p>
        </w:tc>
        <w:tc>
          <w:tcPr>
            <w:tcW w:w="425" w:type="dxa"/>
            <w:vAlign w:val="center"/>
          </w:tcPr>
          <w:p w14:paraId="1C0822E6">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15</w:t>
            </w:r>
          </w:p>
        </w:tc>
        <w:tc>
          <w:tcPr>
            <w:tcW w:w="996" w:type="dxa"/>
            <w:vAlign w:val="center"/>
          </w:tcPr>
          <w:p w14:paraId="7A8768CC">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51F61810">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□基本符合</w:t>
            </w:r>
          </w:p>
          <w:p w14:paraId="106181B1">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p w14:paraId="58B02331">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□合理缺项</w:t>
            </w:r>
          </w:p>
        </w:tc>
        <w:tc>
          <w:tcPr>
            <w:tcW w:w="381" w:type="dxa"/>
            <w:vAlign w:val="center"/>
          </w:tcPr>
          <w:p w14:paraId="09E29E40">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093E5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67" w:type="dxa"/>
            <w:vMerge w:val="continue"/>
            <w:vAlign w:val="center"/>
          </w:tcPr>
          <w:p w14:paraId="7037E3E1">
            <w:pPr>
              <w:tabs>
                <w:tab w:val="left" w:pos="253"/>
              </w:tabs>
              <w:adjustRightInd w:val="0"/>
              <w:snapToGrid w:val="0"/>
              <w:rPr>
                <w:rFonts w:hint="eastAsia" w:ascii="方正仿宋_GBK" w:hAnsi="方正仿宋_GBK" w:eastAsia="方正仿宋_GBK" w:cs="方正仿宋_GBK"/>
                <w:color w:val="auto"/>
                <w:sz w:val="18"/>
                <w:szCs w:val="18"/>
              </w:rPr>
            </w:pPr>
          </w:p>
        </w:tc>
        <w:tc>
          <w:tcPr>
            <w:tcW w:w="778" w:type="dxa"/>
            <w:vAlign w:val="center"/>
          </w:tcPr>
          <w:p w14:paraId="2B50D590">
            <w:pPr>
              <w:tabs>
                <w:tab w:val="left" w:pos="320"/>
              </w:tabs>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9.</w:t>
            </w:r>
            <w:r>
              <w:rPr>
                <w:rFonts w:hint="eastAsia" w:ascii="方正仿宋_GBK" w:hAnsi="方正仿宋_GBK" w:eastAsia="方正仿宋_GBK" w:cs="方正仿宋_GBK"/>
                <w:color w:val="auto"/>
                <w:sz w:val="18"/>
                <w:szCs w:val="18"/>
              </w:rPr>
              <w:t>控制效果评价</w:t>
            </w:r>
          </w:p>
        </w:tc>
        <w:tc>
          <w:tcPr>
            <w:tcW w:w="3884" w:type="dxa"/>
            <w:vAlign w:val="center"/>
          </w:tcPr>
          <w:p w14:paraId="203632ED">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建设项目在竣工验收前或者试运行期间，进行职业病危害控制效果评价，编制评价报告，按要求编制验收方案，对评价报告进行评审及对职业病防护设施进行验收，按评审意见完成报告修改和现场整改，并完成工作过程报告。</w:t>
            </w:r>
          </w:p>
        </w:tc>
        <w:tc>
          <w:tcPr>
            <w:tcW w:w="1645" w:type="dxa"/>
            <w:vAlign w:val="center"/>
          </w:tcPr>
          <w:p w14:paraId="224FE9FD">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查阅近3年建设项目清单及职业病危害控制效果评价开展情况</w:t>
            </w:r>
          </w:p>
        </w:tc>
        <w:tc>
          <w:tcPr>
            <w:tcW w:w="1385" w:type="dxa"/>
            <w:vAlign w:val="center"/>
          </w:tcPr>
          <w:p w14:paraId="5B385BEA">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按要求进行职业病危害控制效果评价、报告</w:t>
            </w:r>
            <w:r>
              <w:rPr>
                <w:rFonts w:hint="eastAsia" w:ascii="方正仿宋_GBK" w:hAnsi="方正仿宋_GBK" w:eastAsia="方正仿宋_GBK" w:cs="方正仿宋_GBK"/>
                <w:color w:val="auto"/>
                <w:kern w:val="0"/>
                <w:sz w:val="18"/>
                <w:szCs w:val="18"/>
              </w:rPr>
              <w:t>评审及现场验收，并按</w:t>
            </w:r>
            <w:r>
              <w:rPr>
                <w:rFonts w:hint="eastAsia" w:ascii="方正仿宋_GBK" w:hAnsi="方正仿宋_GBK" w:eastAsia="方正仿宋_GBK" w:cs="方正仿宋_GBK"/>
                <w:color w:val="auto"/>
                <w:sz w:val="18"/>
                <w:szCs w:val="18"/>
              </w:rPr>
              <w:t>评审意见完成报告修改和现场整改，，并形成工作过程报告</w:t>
            </w:r>
          </w:p>
        </w:tc>
        <w:tc>
          <w:tcPr>
            <w:tcW w:w="1401" w:type="dxa"/>
            <w:shd w:val="clear" w:color="auto" w:fill="auto"/>
            <w:vAlign w:val="center"/>
          </w:tcPr>
          <w:p w14:paraId="237BC7F6">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按要求进行职业病危害控制效果评价，但未进行报告评审及现场验收，或未形成工作过程报告</w:t>
            </w:r>
          </w:p>
        </w:tc>
        <w:tc>
          <w:tcPr>
            <w:tcW w:w="1294" w:type="dxa"/>
            <w:vAlign w:val="center"/>
          </w:tcPr>
          <w:p w14:paraId="44A44133">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未按要求进行职业病危害控制效果评价</w:t>
            </w:r>
          </w:p>
        </w:tc>
        <w:tc>
          <w:tcPr>
            <w:tcW w:w="1136" w:type="dxa"/>
            <w:vAlign w:val="center"/>
          </w:tcPr>
          <w:p w14:paraId="3F7E481D">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sz w:val="18"/>
                <w:szCs w:val="18"/>
              </w:rPr>
              <w:t>近3年</w:t>
            </w:r>
            <w:r>
              <w:rPr>
                <w:rFonts w:hint="eastAsia" w:ascii="方正仿宋_GBK" w:hAnsi="方正仿宋_GBK" w:eastAsia="方正仿宋_GBK" w:cs="方正仿宋_GBK"/>
                <w:color w:val="auto"/>
                <w:kern w:val="0"/>
                <w:sz w:val="18"/>
                <w:szCs w:val="18"/>
              </w:rPr>
              <w:t>无建设项目</w:t>
            </w:r>
          </w:p>
        </w:tc>
        <w:tc>
          <w:tcPr>
            <w:tcW w:w="425" w:type="dxa"/>
            <w:vAlign w:val="center"/>
          </w:tcPr>
          <w:p w14:paraId="26B7FE56">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15</w:t>
            </w:r>
          </w:p>
        </w:tc>
        <w:tc>
          <w:tcPr>
            <w:tcW w:w="996" w:type="dxa"/>
            <w:vAlign w:val="center"/>
          </w:tcPr>
          <w:p w14:paraId="2318CFEE">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0CA3813C">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□基本符合</w:t>
            </w:r>
          </w:p>
          <w:p w14:paraId="5483EFEC">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p w14:paraId="365A6508">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□合理缺项</w:t>
            </w:r>
          </w:p>
        </w:tc>
        <w:tc>
          <w:tcPr>
            <w:tcW w:w="381" w:type="dxa"/>
            <w:vAlign w:val="center"/>
          </w:tcPr>
          <w:p w14:paraId="05911817">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0A9BB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67" w:type="dxa"/>
            <w:vMerge w:val="restart"/>
            <w:vAlign w:val="center"/>
          </w:tcPr>
          <w:p w14:paraId="263C1891">
            <w:pPr>
              <w:tabs>
                <w:tab w:val="left" w:pos="253"/>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kern w:val="0"/>
                <w:sz w:val="18"/>
                <w:szCs w:val="18"/>
              </w:rPr>
              <w:t>四、工作场所职业卫生条件</w:t>
            </w:r>
          </w:p>
        </w:tc>
        <w:tc>
          <w:tcPr>
            <w:tcW w:w="778" w:type="dxa"/>
            <w:shd w:val="clear" w:color="auto" w:fill="auto"/>
            <w:vAlign w:val="center"/>
          </w:tcPr>
          <w:p w14:paraId="23A538F4">
            <w:pPr>
              <w:tabs>
                <w:tab w:val="left" w:pos="320"/>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10.优先采用有利于职业病防治的新技术、新工艺和新材料</w:t>
            </w:r>
          </w:p>
        </w:tc>
        <w:tc>
          <w:tcPr>
            <w:tcW w:w="3884" w:type="dxa"/>
            <w:shd w:val="clear" w:color="auto" w:fill="auto"/>
            <w:vAlign w:val="center"/>
          </w:tcPr>
          <w:p w14:paraId="2620D7BD">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优先采用有利于防治职业病和保护劳动者健康的新技术、新工艺、新材料、新设备，逐步替代职业病危害严重的技术、工艺、设备、材料。</w:t>
            </w:r>
          </w:p>
        </w:tc>
        <w:tc>
          <w:tcPr>
            <w:tcW w:w="1645" w:type="dxa"/>
            <w:shd w:val="clear" w:color="auto" w:fill="auto"/>
            <w:vAlign w:val="center"/>
          </w:tcPr>
          <w:p w14:paraId="70882DE5">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综合评估单位的工艺、技术、装备和材料的先进水平（可参考《推广先进与淘汰落后安全技术装备目录》《淘汰落后安全技术装备目录》《产业结构调整指导目录》</w:t>
            </w:r>
            <w:r>
              <w:rPr>
                <w:rFonts w:hint="eastAsia" w:ascii="方正仿宋_GBK" w:hAnsi="方正仿宋_GBK" w:eastAsia="方正仿宋_GBK" w:cs="方正仿宋_GBK"/>
                <w:color w:val="auto"/>
                <w:kern w:val="0"/>
                <w:sz w:val="18"/>
                <w:szCs w:val="18"/>
              </w:rPr>
              <w:t>和工信部相关行业准入条件</w:t>
            </w:r>
            <w:r>
              <w:rPr>
                <w:rFonts w:hint="eastAsia" w:ascii="方正仿宋_GBK" w:hAnsi="方正仿宋_GBK" w:eastAsia="方正仿宋_GBK" w:cs="方正仿宋_GBK"/>
                <w:color w:val="auto"/>
                <w:sz w:val="18"/>
                <w:szCs w:val="18"/>
              </w:rPr>
              <w:t>）</w:t>
            </w:r>
          </w:p>
        </w:tc>
        <w:tc>
          <w:tcPr>
            <w:tcW w:w="1385" w:type="dxa"/>
            <w:shd w:val="clear" w:color="auto" w:fill="auto"/>
            <w:vAlign w:val="center"/>
          </w:tcPr>
          <w:p w14:paraId="48EFA8AE">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工艺、技术、装备和材料较为先进，且未生产、经营、进口和使用国家明令禁止使用的可能产生职业病危害的设备或者材料</w:t>
            </w:r>
          </w:p>
        </w:tc>
        <w:tc>
          <w:tcPr>
            <w:tcW w:w="1401" w:type="dxa"/>
            <w:shd w:val="clear" w:color="auto" w:fill="auto"/>
            <w:vAlign w:val="center"/>
          </w:tcPr>
          <w:p w14:paraId="40E32FD6">
            <w:pPr>
              <w:adjustRightInd w:val="0"/>
              <w:snapToGrid w:val="0"/>
              <w:jc w:val="center"/>
              <w:rPr>
                <w:rFonts w:hint="eastAsia" w:ascii="方正仿宋_GBK" w:hAnsi="方正仿宋_GBK" w:eastAsia="方正仿宋_GBK" w:cs="方正仿宋_GBK"/>
                <w:color w:val="auto"/>
                <w:sz w:val="18"/>
                <w:szCs w:val="18"/>
                <w:lang w:val="en"/>
              </w:rPr>
            </w:pPr>
            <w:r>
              <w:rPr>
                <w:rFonts w:hint="eastAsia" w:ascii="方正仿宋_GBK" w:hAnsi="方正仿宋_GBK" w:eastAsia="方正仿宋_GBK" w:cs="方正仿宋_GBK"/>
                <w:color w:val="auto"/>
                <w:kern w:val="0"/>
                <w:sz w:val="18"/>
                <w:szCs w:val="18"/>
                <w:lang w:val="en"/>
              </w:rPr>
              <w:t>-</w:t>
            </w:r>
          </w:p>
        </w:tc>
        <w:tc>
          <w:tcPr>
            <w:tcW w:w="1294" w:type="dxa"/>
            <w:shd w:val="clear" w:color="auto" w:fill="auto"/>
            <w:vAlign w:val="center"/>
          </w:tcPr>
          <w:p w14:paraId="3AA4F896">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与现阶段国内同类用人单位相比，工艺、技术、装备和材料明显落后；或者</w:t>
            </w:r>
            <w:r>
              <w:rPr>
                <w:rFonts w:hint="eastAsia" w:ascii="方正仿宋_GBK" w:hAnsi="方正仿宋_GBK" w:eastAsia="方正仿宋_GBK" w:cs="方正仿宋_GBK"/>
                <w:color w:val="auto"/>
                <w:kern w:val="0"/>
                <w:sz w:val="18"/>
                <w:szCs w:val="18"/>
              </w:rPr>
              <w:t>生产、经营、进口和使用国家明令禁止使用的可能产生职业病危害的设备或者材料</w:t>
            </w:r>
          </w:p>
        </w:tc>
        <w:tc>
          <w:tcPr>
            <w:tcW w:w="1136" w:type="dxa"/>
            <w:shd w:val="clear" w:color="auto" w:fill="auto"/>
            <w:vAlign w:val="center"/>
          </w:tcPr>
          <w:p w14:paraId="16343A55">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25" w:type="dxa"/>
            <w:shd w:val="clear" w:color="auto" w:fill="auto"/>
            <w:vAlign w:val="center"/>
          </w:tcPr>
          <w:p w14:paraId="5E4E5DC1">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10</w:t>
            </w:r>
          </w:p>
        </w:tc>
        <w:tc>
          <w:tcPr>
            <w:tcW w:w="996" w:type="dxa"/>
            <w:shd w:val="clear" w:color="auto" w:fill="auto"/>
            <w:vAlign w:val="center"/>
          </w:tcPr>
          <w:p w14:paraId="3F644007">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30204FD1">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81" w:type="dxa"/>
            <w:vAlign w:val="center"/>
          </w:tcPr>
          <w:p w14:paraId="1F6226EA">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1EA51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67" w:type="dxa"/>
            <w:vMerge w:val="continue"/>
            <w:vAlign w:val="center"/>
          </w:tcPr>
          <w:p w14:paraId="65862C49">
            <w:pPr>
              <w:tabs>
                <w:tab w:val="left" w:pos="253"/>
              </w:tabs>
              <w:adjustRightInd w:val="0"/>
              <w:snapToGrid w:val="0"/>
              <w:rPr>
                <w:rFonts w:hint="eastAsia" w:ascii="方正仿宋_GBK" w:hAnsi="方正仿宋_GBK" w:eastAsia="方正仿宋_GBK" w:cs="方正仿宋_GBK"/>
                <w:color w:val="auto"/>
                <w:kern w:val="0"/>
                <w:sz w:val="18"/>
                <w:szCs w:val="18"/>
              </w:rPr>
            </w:pPr>
          </w:p>
        </w:tc>
        <w:tc>
          <w:tcPr>
            <w:tcW w:w="778" w:type="dxa"/>
            <w:shd w:val="clear" w:color="auto" w:fill="auto"/>
            <w:vAlign w:val="center"/>
          </w:tcPr>
          <w:p w14:paraId="26EFC95C">
            <w:pPr>
              <w:tabs>
                <w:tab w:val="left" w:pos="320"/>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11.不得隐瞒技术、工艺、设备和材料所产生的职业病危害</w:t>
            </w:r>
          </w:p>
        </w:tc>
        <w:tc>
          <w:tcPr>
            <w:tcW w:w="3884" w:type="dxa"/>
            <w:shd w:val="clear" w:color="auto" w:fill="auto"/>
            <w:vAlign w:val="center"/>
          </w:tcPr>
          <w:p w14:paraId="4135EBF5">
            <w:pPr>
              <w:widowControl/>
              <w:adjustRightInd w:val="0"/>
              <w:snapToGrid w:val="0"/>
              <w:rPr>
                <w:rFonts w:hint="eastAsia" w:ascii="方正仿宋_GBK" w:hAnsi="方正仿宋_GBK" w:eastAsia="方正仿宋_GBK" w:cs="方正仿宋_GBK"/>
                <w:color w:val="auto"/>
                <w:sz w:val="18"/>
                <w:szCs w:val="18"/>
                <w:lang w:eastAsia="zh-CN"/>
              </w:rPr>
            </w:pPr>
            <w:r>
              <w:rPr>
                <w:rFonts w:hint="eastAsia" w:ascii="方正仿宋_GBK" w:hAnsi="方正仿宋_GBK" w:eastAsia="方正仿宋_GBK" w:cs="方正仿宋_GBK"/>
                <w:color w:val="auto"/>
                <w:sz w:val="18"/>
                <w:szCs w:val="18"/>
              </w:rPr>
              <w:t>(1)对采用的技术、工艺、设备、材料，知悉其产生的职业病危害。</w:t>
            </w:r>
          </w:p>
          <w:p w14:paraId="71268A5C">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sz w:val="18"/>
                <w:szCs w:val="18"/>
              </w:rPr>
              <w:t>(2)对有职业病危害的技术、工艺、设备和材料，故意隐瞒其危害而采用的，用人单位对其所造成的职业病危害后果承担责任。</w:t>
            </w:r>
          </w:p>
        </w:tc>
        <w:tc>
          <w:tcPr>
            <w:tcW w:w="1645" w:type="dxa"/>
            <w:shd w:val="clear" w:color="auto" w:fill="auto"/>
            <w:vAlign w:val="center"/>
          </w:tcPr>
          <w:p w14:paraId="04484EE4">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查阅原材料采购计划和生产设备改造或更新计划，查阅生产工艺流程图及产生职业病危害的设备登记表、有毒有害物质清单和化学品安全技术说明书(MSDS)等资料</w:t>
            </w:r>
          </w:p>
        </w:tc>
        <w:tc>
          <w:tcPr>
            <w:tcW w:w="1385" w:type="dxa"/>
            <w:shd w:val="clear" w:color="auto" w:fill="auto"/>
            <w:vAlign w:val="center"/>
          </w:tcPr>
          <w:p w14:paraId="75E408CF">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未隐瞒工艺、设备产生的危害；生产原辅材料的有毒有害成份明确，主要原辅材料MSDS齐全</w:t>
            </w:r>
          </w:p>
        </w:tc>
        <w:tc>
          <w:tcPr>
            <w:tcW w:w="1401" w:type="dxa"/>
            <w:shd w:val="clear" w:color="auto" w:fill="auto"/>
            <w:vAlign w:val="center"/>
          </w:tcPr>
          <w:p w14:paraId="28135DAD">
            <w:pPr>
              <w:adjustRightInd w:val="0"/>
              <w:snapToGrid w:val="0"/>
              <w:jc w:val="center"/>
              <w:rPr>
                <w:rFonts w:hint="eastAsia" w:ascii="方正仿宋_GBK" w:hAnsi="方正仿宋_GBK" w:eastAsia="方正仿宋_GBK" w:cs="方正仿宋_GBK"/>
                <w:color w:val="auto"/>
                <w:sz w:val="18"/>
                <w:szCs w:val="18"/>
                <w:lang w:val="en"/>
              </w:rPr>
            </w:pPr>
            <w:r>
              <w:rPr>
                <w:rFonts w:hint="eastAsia" w:ascii="方正仿宋_GBK" w:hAnsi="方正仿宋_GBK" w:eastAsia="方正仿宋_GBK" w:cs="方正仿宋_GBK"/>
                <w:color w:val="auto"/>
                <w:kern w:val="0"/>
                <w:sz w:val="18"/>
                <w:szCs w:val="18"/>
                <w:lang w:val="en"/>
              </w:rPr>
              <w:t>-</w:t>
            </w:r>
          </w:p>
        </w:tc>
        <w:tc>
          <w:tcPr>
            <w:tcW w:w="1294" w:type="dxa"/>
            <w:shd w:val="clear" w:color="auto" w:fill="auto"/>
            <w:vAlign w:val="center"/>
          </w:tcPr>
          <w:p w14:paraId="605E1174">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kern w:val="0"/>
                <w:sz w:val="18"/>
                <w:szCs w:val="18"/>
              </w:rPr>
              <w:t>隐瞒工艺、设备产生的危害；主要原辅材料缺少MSDS</w:t>
            </w:r>
          </w:p>
        </w:tc>
        <w:tc>
          <w:tcPr>
            <w:tcW w:w="1136" w:type="dxa"/>
            <w:shd w:val="clear" w:color="auto" w:fill="auto"/>
            <w:vAlign w:val="center"/>
          </w:tcPr>
          <w:p w14:paraId="538BF7F3">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25" w:type="dxa"/>
            <w:shd w:val="clear" w:color="auto" w:fill="auto"/>
            <w:vAlign w:val="center"/>
          </w:tcPr>
          <w:p w14:paraId="1A998CEB">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w:t>
            </w:r>
          </w:p>
        </w:tc>
        <w:tc>
          <w:tcPr>
            <w:tcW w:w="996" w:type="dxa"/>
            <w:shd w:val="clear" w:color="auto" w:fill="auto"/>
            <w:vAlign w:val="center"/>
          </w:tcPr>
          <w:p w14:paraId="5D0B94D8">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28EEE48E">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81" w:type="dxa"/>
            <w:vAlign w:val="center"/>
          </w:tcPr>
          <w:p w14:paraId="0E43F3E4">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7C99A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67" w:type="dxa"/>
            <w:vMerge w:val="continue"/>
            <w:vAlign w:val="center"/>
          </w:tcPr>
          <w:p w14:paraId="2E8EACC4">
            <w:pPr>
              <w:tabs>
                <w:tab w:val="left" w:pos="253"/>
              </w:tabs>
              <w:adjustRightInd w:val="0"/>
              <w:snapToGrid w:val="0"/>
              <w:rPr>
                <w:rFonts w:hint="eastAsia" w:ascii="方正仿宋_GBK" w:hAnsi="方正仿宋_GBK" w:eastAsia="方正仿宋_GBK" w:cs="方正仿宋_GBK"/>
                <w:color w:val="auto"/>
                <w:kern w:val="0"/>
                <w:sz w:val="18"/>
                <w:szCs w:val="18"/>
              </w:rPr>
            </w:pPr>
          </w:p>
        </w:tc>
        <w:tc>
          <w:tcPr>
            <w:tcW w:w="778" w:type="dxa"/>
            <w:shd w:val="clear" w:color="auto" w:fill="auto"/>
            <w:vAlign w:val="center"/>
          </w:tcPr>
          <w:p w14:paraId="7A27AFF5">
            <w:pPr>
              <w:tabs>
                <w:tab w:val="left" w:pos="320"/>
              </w:tabs>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12.</w:t>
            </w:r>
            <w:r>
              <w:rPr>
                <w:rFonts w:hint="eastAsia" w:ascii="方正仿宋_GBK" w:hAnsi="方正仿宋_GBK" w:eastAsia="方正仿宋_GBK" w:cs="方正仿宋_GBK"/>
                <w:color w:val="auto"/>
                <w:sz w:val="18"/>
                <w:szCs w:val="18"/>
              </w:rPr>
              <w:t>职业病危害因素浓度或强度</w:t>
            </w:r>
          </w:p>
        </w:tc>
        <w:tc>
          <w:tcPr>
            <w:tcW w:w="3884" w:type="dxa"/>
            <w:shd w:val="clear" w:color="auto" w:fill="auto"/>
            <w:vAlign w:val="center"/>
          </w:tcPr>
          <w:p w14:paraId="56C80D1E">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工作场所职业病危害因素强度或者浓度符合国家职业卫生标准和行业标准的要求。</w:t>
            </w:r>
          </w:p>
        </w:tc>
        <w:tc>
          <w:tcPr>
            <w:tcW w:w="1645" w:type="dxa"/>
            <w:shd w:val="clear" w:color="auto" w:fill="auto"/>
            <w:vAlign w:val="center"/>
          </w:tcPr>
          <w:p w14:paraId="6A7BB748">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查阅检测报告(关注检测时工况与气象条件)，重点检查矽尘、石棉粉尘、高毒物品和放射性物质等严重职业病危害因素浓度或强度符合情况</w:t>
            </w:r>
          </w:p>
        </w:tc>
        <w:tc>
          <w:tcPr>
            <w:tcW w:w="1385" w:type="dxa"/>
            <w:shd w:val="clear" w:color="auto" w:fill="auto"/>
            <w:vAlign w:val="center"/>
          </w:tcPr>
          <w:p w14:paraId="5026DDE1">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职业病危害因素全部符合</w:t>
            </w:r>
          </w:p>
        </w:tc>
        <w:tc>
          <w:tcPr>
            <w:tcW w:w="1401" w:type="dxa"/>
            <w:shd w:val="clear" w:color="auto" w:fill="auto"/>
            <w:vAlign w:val="center"/>
          </w:tcPr>
          <w:p w14:paraId="048A3E09">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严重职业病危害因素全部符合；个别一般职业病危害因素存在不符合情况</w:t>
            </w:r>
          </w:p>
        </w:tc>
        <w:tc>
          <w:tcPr>
            <w:tcW w:w="1294" w:type="dxa"/>
            <w:shd w:val="clear" w:color="auto" w:fill="auto"/>
            <w:vAlign w:val="center"/>
          </w:tcPr>
          <w:p w14:paraId="0BC9254B">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严重职业病危害因素存在不符合；或者大部分其他职业病危害因素存在不符合</w:t>
            </w:r>
          </w:p>
        </w:tc>
        <w:tc>
          <w:tcPr>
            <w:tcW w:w="1136" w:type="dxa"/>
            <w:shd w:val="clear" w:color="auto" w:fill="auto"/>
            <w:vAlign w:val="center"/>
          </w:tcPr>
          <w:p w14:paraId="475D0C8B">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25" w:type="dxa"/>
            <w:shd w:val="clear" w:color="auto" w:fill="auto"/>
            <w:vAlign w:val="center"/>
          </w:tcPr>
          <w:p w14:paraId="2C201515">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20</w:t>
            </w:r>
          </w:p>
        </w:tc>
        <w:tc>
          <w:tcPr>
            <w:tcW w:w="996" w:type="dxa"/>
            <w:shd w:val="clear" w:color="auto" w:fill="auto"/>
            <w:vAlign w:val="center"/>
          </w:tcPr>
          <w:p w14:paraId="493375A1">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37A63325">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□基本符合</w:t>
            </w:r>
          </w:p>
          <w:p w14:paraId="01D17DAC">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81" w:type="dxa"/>
            <w:vAlign w:val="center"/>
          </w:tcPr>
          <w:p w14:paraId="12D4B88C">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292AD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67" w:type="dxa"/>
            <w:vMerge w:val="continue"/>
            <w:vAlign w:val="center"/>
          </w:tcPr>
          <w:p w14:paraId="4E4A5F0D">
            <w:pPr>
              <w:tabs>
                <w:tab w:val="left" w:pos="253"/>
              </w:tabs>
              <w:adjustRightInd w:val="0"/>
              <w:snapToGrid w:val="0"/>
              <w:rPr>
                <w:rFonts w:hint="eastAsia" w:ascii="方正仿宋_GBK" w:hAnsi="方正仿宋_GBK" w:eastAsia="方正仿宋_GBK" w:cs="方正仿宋_GBK"/>
                <w:color w:val="auto"/>
                <w:sz w:val="18"/>
                <w:szCs w:val="18"/>
              </w:rPr>
            </w:pPr>
          </w:p>
        </w:tc>
        <w:tc>
          <w:tcPr>
            <w:tcW w:w="778" w:type="dxa"/>
            <w:vAlign w:val="center"/>
          </w:tcPr>
          <w:p w14:paraId="7BE44B82">
            <w:pPr>
              <w:tabs>
                <w:tab w:val="left" w:pos="320"/>
              </w:tabs>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13.</w:t>
            </w:r>
            <w:r>
              <w:rPr>
                <w:rFonts w:hint="eastAsia" w:ascii="方正仿宋_GBK" w:hAnsi="方正仿宋_GBK" w:eastAsia="方正仿宋_GBK" w:cs="方正仿宋_GBK"/>
                <w:color w:val="auto"/>
                <w:sz w:val="18"/>
                <w:szCs w:val="18"/>
              </w:rPr>
              <w:t>有害和无害作业分开</w:t>
            </w:r>
          </w:p>
        </w:tc>
        <w:tc>
          <w:tcPr>
            <w:tcW w:w="3884" w:type="dxa"/>
            <w:vAlign w:val="center"/>
          </w:tcPr>
          <w:p w14:paraId="440372EE">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生产布局合理，符合有害与无害作业分开的原则。</w:t>
            </w:r>
          </w:p>
        </w:tc>
        <w:tc>
          <w:tcPr>
            <w:tcW w:w="1645" w:type="dxa"/>
            <w:vAlign w:val="center"/>
          </w:tcPr>
          <w:p w14:paraId="50994631">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现场检查，主要检查接触矽尘、石棉粉尘、高毒物质岗位是否与其他岗位隔离，接触有毒有害岗位与无危害岗位是否分开布置；有毒物品和粉尘的发生源是否布置在操作岗位下风侧</w:t>
            </w:r>
          </w:p>
        </w:tc>
        <w:tc>
          <w:tcPr>
            <w:tcW w:w="1385" w:type="dxa"/>
            <w:vAlign w:val="center"/>
          </w:tcPr>
          <w:p w14:paraId="69ADBEED">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有毒有害作业与无害作业分开布置</w:t>
            </w:r>
          </w:p>
        </w:tc>
        <w:tc>
          <w:tcPr>
            <w:tcW w:w="1401" w:type="dxa"/>
            <w:vAlign w:val="center"/>
          </w:tcPr>
          <w:p w14:paraId="1A025ADE">
            <w:pPr>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1294" w:type="dxa"/>
            <w:vAlign w:val="center"/>
          </w:tcPr>
          <w:p w14:paraId="42EEECE1">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有毒有害作业与无害作业未分开布置</w:t>
            </w:r>
          </w:p>
        </w:tc>
        <w:tc>
          <w:tcPr>
            <w:tcW w:w="1136" w:type="dxa"/>
            <w:vAlign w:val="center"/>
          </w:tcPr>
          <w:p w14:paraId="2DE12289">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25" w:type="dxa"/>
            <w:vAlign w:val="center"/>
          </w:tcPr>
          <w:p w14:paraId="092DED3F">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w:t>
            </w:r>
          </w:p>
        </w:tc>
        <w:tc>
          <w:tcPr>
            <w:tcW w:w="996" w:type="dxa"/>
            <w:vAlign w:val="center"/>
          </w:tcPr>
          <w:p w14:paraId="170983BD">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40207171">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81" w:type="dxa"/>
            <w:vAlign w:val="center"/>
          </w:tcPr>
          <w:p w14:paraId="52490949">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01A0D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67" w:type="dxa"/>
            <w:vMerge w:val="continue"/>
            <w:vAlign w:val="center"/>
          </w:tcPr>
          <w:p w14:paraId="6BF20D69">
            <w:pPr>
              <w:tabs>
                <w:tab w:val="left" w:pos="253"/>
              </w:tabs>
              <w:adjustRightInd w:val="0"/>
              <w:snapToGrid w:val="0"/>
              <w:rPr>
                <w:rFonts w:hint="eastAsia" w:ascii="方正仿宋_GBK" w:hAnsi="方正仿宋_GBK" w:eastAsia="方正仿宋_GBK" w:cs="方正仿宋_GBK"/>
                <w:color w:val="auto"/>
                <w:sz w:val="18"/>
                <w:szCs w:val="18"/>
              </w:rPr>
            </w:pPr>
          </w:p>
        </w:tc>
        <w:tc>
          <w:tcPr>
            <w:tcW w:w="778" w:type="dxa"/>
            <w:vAlign w:val="center"/>
          </w:tcPr>
          <w:p w14:paraId="56A90372">
            <w:pPr>
              <w:tabs>
                <w:tab w:val="left" w:pos="320"/>
              </w:tabs>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14.</w:t>
            </w:r>
            <w:r>
              <w:rPr>
                <w:rFonts w:hint="eastAsia" w:ascii="方正仿宋_GBK" w:hAnsi="方正仿宋_GBK" w:eastAsia="方正仿宋_GBK" w:cs="方正仿宋_GBK"/>
                <w:color w:val="auto"/>
                <w:sz w:val="18"/>
                <w:szCs w:val="18"/>
              </w:rPr>
              <w:t>工作场所与生活场所分开</w:t>
            </w:r>
          </w:p>
        </w:tc>
        <w:tc>
          <w:tcPr>
            <w:tcW w:w="3884" w:type="dxa"/>
            <w:vAlign w:val="center"/>
          </w:tcPr>
          <w:p w14:paraId="2C61FC66">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工作场所与生活场所分开，工作场所不得住人。</w:t>
            </w:r>
          </w:p>
        </w:tc>
        <w:tc>
          <w:tcPr>
            <w:tcW w:w="1645" w:type="dxa"/>
            <w:vAlign w:val="center"/>
          </w:tcPr>
          <w:p w14:paraId="445E9819">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现场检查</w:t>
            </w:r>
          </w:p>
        </w:tc>
        <w:tc>
          <w:tcPr>
            <w:tcW w:w="1385" w:type="dxa"/>
            <w:vAlign w:val="center"/>
          </w:tcPr>
          <w:p w14:paraId="3B987B54">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设置与工作场所分开的独立生活区</w:t>
            </w:r>
          </w:p>
        </w:tc>
        <w:tc>
          <w:tcPr>
            <w:tcW w:w="1401" w:type="dxa"/>
            <w:vAlign w:val="center"/>
          </w:tcPr>
          <w:p w14:paraId="10680B64">
            <w:pPr>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1294" w:type="dxa"/>
            <w:vAlign w:val="center"/>
          </w:tcPr>
          <w:p w14:paraId="5F0D2E83">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工作场所与生活场所未分开</w:t>
            </w:r>
          </w:p>
        </w:tc>
        <w:tc>
          <w:tcPr>
            <w:tcW w:w="1136" w:type="dxa"/>
            <w:vAlign w:val="center"/>
          </w:tcPr>
          <w:p w14:paraId="6AB525FF">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25" w:type="dxa"/>
            <w:vAlign w:val="center"/>
          </w:tcPr>
          <w:p w14:paraId="5DB5D168">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w:t>
            </w:r>
          </w:p>
        </w:tc>
        <w:tc>
          <w:tcPr>
            <w:tcW w:w="996" w:type="dxa"/>
            <w:vAlign w:val="center"/>
          </w:tcPr>
          <w:p w14:paraId="20846008">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39941E3E">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81" w:type="dxa"/>
            <w:vAlign w:val="center"/>
          </w:tcPr>
          <w:p w14:paraId="1EEB950F">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7A769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67" w:type="dxa"/>
            <w:vMerge w:val="continue"/>
            <w:vAlign w:val="center"/>
          </w:tcPr>
          <w:p w14:paraId="34EE1371">
            <w:pPr>
              <w:tabs>
                <w:tab w:val="left" w:pos="253"/>
              </w:tabs>
              <w:adjustRightInd w:val="0"/>
              <w:snapToGrid w:val="0"/>
              <w:rPr>
                <w:rFonts w:hint="eastAsia" w:ascii="方正仿宋_GBK" w:hAnsi="方正仿宋_GBK" w:eastAsia="方正仿宋_GBK" w:cs="方正仿宋_GBK"/>
                <w:color w:val="auto"/>
                <w:sz w:val="18"/>
                <w:szCs w:val="18"/>
              </w:rPr>
            </w:pPr>
          </w:p>
        </w:tc>
        <w:tc>
          <w:tcPr>
            <w:tcW w:w="778" w:type="dxa"/>
            <w:shd w:val="clear" w:color="auto" w:fill="auto"/>
            <w:vAlign w:val="center"/>
          </w:tcPr>
          <w:p w14:paraId="274E67E2">
            <w:pPr>
              <w:tabs>
                <w:tab w:val="left" w:pos="320"/>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15.卫生设施</w:t>
            </w:r>
          </w:p>
        </w:tc>
        <w:tc>
          <w:tcPr>
            <w:tcW w:w="3884" w:type="dxa"/>
            <w:shd w:val="clear" w:color="auto" w:fill="auto"/>
            <w:vAlign w:val="center"/>
          </w:tcPr>
          <w:p w14:paraId="10303D7F">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有配套的更衣间、洗浴间、孕妇休息间、女工卫生室等卫生设施。</w:t>
            </w:r>
          </w:p>
        </w:tc>
        <w:tc>
          <w:tcPr>
            <w:tcW w:w="1645" w:type="dxa"/>
            <w:shd w:val="clear" w:color="auto" w:fill="auto"/>
            <w:vAlign w:val="center"/>
          </w:tcPr>
          <w:p w14:paraId="2E6E92D5">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现场检查</w:t>
            </w:r>
          </w:p>
        </w:tc>
        <w:tc>
          <w:tcPr>
            <w:tcW w:w="1385" w:type="dxa"/>
            <w:shd w:val="clear" w:color="auto" w:fill="auto"/>
            <w:vAlign w:val="center"/>
          </w:tcPr>
          <w:p w14:paraId="695BC95F">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按《工业企业设计卫生标准》的要求设置配套的卫生设施</w:t>
            </w:r>
          </w:p>
        </w:tc>
        <w:tc>
          <w:tcPr>
            <w:tcW w:w="1401" w:type="dxa"/>
            <w:shd w:val="clear" w:color="auto" w:fill="auto"/>
            <w:vAlign w:val="center"/>
          </w:tcPr>
          <w:p w14:paraId="2225EAB2">
            <w:pPr>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1294" w:type="dxa"/>
            <w:shd w:val="clear" w:color="auto" w:fill="auto"/>
            <w:vAlign w:val="center"/>
          </w:tcPr>
          <w:p w14:paraId="64CE7686">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未按要求设置卫生设施</w:t>
            </w:r>
          </w:p>
        </w:tc>
        <w:tc>
          <w:tcPr>
            <w:tcW w:w="1136" w:type="dxa"/>
            <w:shd w:val="clear" w:color="auto" w:fill="auto"/>
            <w:vAlign w:val="center"/>
          </w:tcPr>
          <w:p w14:paraId="74ADEB01">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25" w:type="dxa"/>
            <w:shd w:val="clear" w:color="auto" w:fill="auto"/>
            <w:vAlign w:val="center"/>
          </w:tcPr>
          <w:p w14:paraId="48F04505">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10</w:t>
            </w:r>
          </w:p>
        </w:tc>
        <w:tc>
          <w:tcPr>
            <w:tcW w:w="996" w:type="dxa"/>
            <w:shd w:val="clear" w:color="auto" w:fill="auto"/>
            <w:vAlign w:val="center"/>
          </w:tcPr>
          <w:p w14:paraId="72D2E6C3">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18848C1B">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81" w:type="dxa"/>
            <w:vAlign w:val="center"/>
          </w:tcPr>
          <w:p w14:paraId="6FE31B7A">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4B327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67" w:type="dxa"/>
            <w:vMerge w:val="continue"/>
            <w:vAlign w:val="center"/>
          </w:tcPr>
          <w:p w14:paraId="201FC0EC">
            <w:pPr>
              <w:tabs>
                <w:tab w:val="left" w:pos="253"/>
              </w:tabs>
              <w:adjustRightInd w:val="0"/>
              <w:snapToGrid w:val="0"/>
              <w:rPr>
                <w:rFonts w:hint="eastAsia" w:ascii="方正仿宋_GBK" w:hAnsi="方正仿宋_GBK" w:eastAsia="方正仿宋_GBK" w:cs="方正仿宋_GBK"/>
                <w:color w:val="auto"/>
                <w:sz w:val="18"/>
                <w:szCs w:val="18"/>
              </w:rPr>
            </w:pPr>
          </w:p>
        </w:tc>
        <w:tc>
          <w:tcPr>
            <w:tcW w:w="778" w:type="dxa"/>
            <w:shd w:val="clear" w:color="auto" w:fill="auto"/>
            <w:vAlign w:val="center"/>
          </w:tcPr>
          <w:p w14:paraId="5B177FE7">
            <w:pPr>
              <w:tabs>
                <w:tab w:val="left" w:pos="320"/>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16.职业病危害作业转移</w:t>
            </w:r>
          </w:p>
        </w:tc>
        <w:tc>
          <w:tcPr>
            <w:tcW w:w="3884" w:type="dxa"/>
            <w:shd w:val="clear" w:color="auto" w:fill="auto"/>
            <w:vAlign w:val="center"/>
          </w:tcPr>
          <w:p w14:paraId="15645076">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(1)不得将产生职业病危害的作业转移给不具备职业病防护条件的单位和个人。</w:t>
            </w:r>
          </w:p>
          <w:p w14:paraId="74135CB8">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(2)不具备职业病危害防护条件的单位和个人不得接受产生职业病危害的作业。</w:t>
            </w:r>
          </w:p>
        </w:tc>
        <w:tc>
          <w:tcPr>
            <w:tcW w:w="1645" w:type="dxa"/>
            <w:shd w:val="clear" w:color="auto" w:fill="auto"/>
            <w:vAlign w:val="center"/>
          </w:tcPr>
          <w:p w14:paraId="1E7F5A81">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针对生产工艺流程外包环节和岗位，查阅承包职业卫生协议书、职业病危害告知及应当采取防护措施等内容，对外包作业现场检查</w:t>
            </w:r>
          </w:p>
        </w:tc>
        <w:tc>
          <w:tcPr>
            <w:tcW w:w="1385" w:type="dxa"/>
            <w:shd w:val="clear" w:color="auto" w:fill="auto"/>
            <w:vAlign w:val="center"/>
          </w:tcPr>
          <w:p w14:paraId="27955EA0">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与外包单位签订有职业卫生协议，并监督外包单位落实职业病防护措施</w:t>
            </w:r>
          </w:p>
        </w:tc>
        <w:tc>
          <w:tcPr>
            <w:tcW w:w="1401" w:type="dxa"/>
            <w:shd w:val="clear" w:color="auto" w:fill="auto"/>
            <w:vAlign w:val="center"/>
          </w:tcPr>
          <w:p w14:paraId="345BA713">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1294" w:type="dxa"/>
            <w:shd w:val="clear" w:color="auto" w:fill="auto"/>
            <w:vAlign w:val="center"/>
          </w:tcPr>
          <w:p w14:paraId="0BCD7F4D">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与外包单位无相关职业健康协议；或未督促外包单位落实职业病防护措施</w:t>
            </w:r>
          </w:p>
        </w:tc>
        <w:tc>
          <w:tcPr>
            <w:tcW w:w="1136" w:type="dxa"/>
            <w:shd w:val="clear" w:color="auto" w:fill="auto"/>
            <w:vAlign w:val="center"/>
          </w:tcPr>
          <w:p w14:paraId="1A151C6B">
            <w:pPr>
              <w:widowControl/>
              <w:adjustRightInd w:val="0"/>
              <w:snapToGrid w:val="0"/>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rPr>
              <w:t>不涉及</w:t>
            </w:r>
            <w:r>
              <w:rPr>
                <w:rFonts w:hint="eastAsia" w:ascii="方正仿宋_GBK" w:hAnsi="方正仿宋_GBK" w:eastAsia="方正仿宋_GBK" w:cs="方正仿宋_GBK"/>
                <w:color w:val="auto"/>
                <w:sz w:val="18"/>
                <w:szCs w:val="18"/>
              </w:rPr>
              <w:t>产生职业病危害的</w:t>
            </w:r>
            <w:r>
              <w:rPr>
                <w:rFonts w:hint="eastAsia" w:ascii="方正仿宋_GBK" w:hAnsi="方正仿宋_GBK" w:eastAsia="方正仿宋_GBK" w:cs="方正仿宋_GBK"/>
                <w:color w:val="auto"/>
                <w:kern w:val="0"/>
                <w:sz w:val="18"/>
                <w:szCs w:val="18"/>
              </w:rPr>
              <w:t>外包作业</w:t>
            </w:r>
          </w:p>
        </w:tc>
        <w:tc>
          <w:tcPr>
            <w:tcW w:w="425" w:type="dxa"/>
            <w:shd w:val="clear" w:color="auto" w:fill="auto"/>
            <w:vAlign w:val="center"/>
          </w:tcPr>
          <w:p w14:paraId="4D17BD07">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w:t>
            </w:r>
          </w:p>
        </w:tc>
        <w:tc>
          <w:tcPr>
            <w:tcW w:w="996" w:type="dxa"/>
            <w:shd w:val="clear" w:color="auto" w:fill="auto"/>
            <w:vAlign w:val="center"/>
          </w:tcPr>
          <w:p w14:paraId="7FD2A48D">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68999572">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p w14:paraId="1F5DC69D">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□合理缺项</w:t>
            </w:r>
          </w:p>
        </w:tc>
        <w:tc>
          <w:tcPr>
            <w:tcW w:w="381" w:type="dxa"/>
            <w:vAlign w:val="center"/>
          </w:tcPr>
          <w:p w14:paraId="130C7C70">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4E6F0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67" w:type="dxa"/>
            <w:vMerge w:val="restart"/>
            <w:vAlign w:val="center"/>
          </w:tcPr>
          <w:p w14:paraId="1D1BB4DC">
            <w:pPr>
              <w:tabs>
                <w:tab w:val="left" w:pos="253"/>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kern w:val="0"/>
                <w:sz w:val="18"/>
                <w:szCs w:val="18"/>
              </w:rPr>
              <w:t>五、职业病危害因素日常监测、检测和评价</w:t>
            </w:r>
          </w:p>
        </w:tc>
        <w:tc>
          <w:tcPr>
            <w:tcW w:w="778" w:type="dxa"/>
            <w:vAlign w:val="center"/>
          </w:tcPr>
          <w:p w14:paraId="2CAD1947">
            <w:pPr>
              <w:tabs>
                <w:tab w:val="left" w:pos="320"/>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17.日常监测</w:t>
            </w:r>
          </w:p>
        </w:tc>
        <w:tc>
          <w:tcPr>
            <w:tcW w:w="3884" w:type="dxa"/>
            <w:vAlign w:val="center"/>
          </w:tcPr>
          <w:p w14:paraId="600A69C8">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实施由专人负责的职业病危害因素日常监测，并确保监测系统处于正常运转状态。</w:t>
            </w:r>
          </w:p>
        </w:tc>
        <w:tc>
          <w:tcPr>
            <w:tcW w:w="1645" w:type="dxa"/>
            <w:vAlign w:val="center"/>
          </w:tcPr>
          <w:p w14:paraId="7F706729">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查阅监测记录或报告，重点检查粉尘与高毒物品日常监测情况</w:t>
            </w:r>
          </w:p>
        </w:tc>
        <w:tc>
          <w:tcPr>
            <w:tcW w:w="1385" w:type="dxa"/>
            <w:vAlign w:val="center"/>
          </w:tcPr>
          <w:p w14:paraId="7D881872">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开展日常监测，监测项目及记录齐全</w:t>
            </w:r>
          </w:p>
        </w:tc>
        <w:tc>
          <w:tcPr>
            <w:tcW w:w="1401" w:type="dxa"/>
            <w:vAlign w:val="center"/>
          </w:tcPr>
          <w:p w14:paraId="6456C7F7">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开展日常监测，但监测项目不全</w:t>
            </w:r>
          </w:p>
        </w:tc>
        <w:tc>
          <w:tcPr>
            <w:tcW w:w="1294" w:type="dxa"/>
            <w:vAlign w:val="center"/>
          </w:tcPr>
          <w:p w14:paraId="09A0AA9C">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未开展日常监测</w:t>
            </w:r>
          </w:p>
        </w:tc>
        <w:tc>
          <w:tcPr>
            <w:tcW w:w="1136" w:type="dxa"/>
            <w:vAlign w:val="center"/>
          </w:tcPr>
          <w:p w14:paraId="4A65C7C8">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25" w:type="dxa"/>
            <w:vAlign w:val="center"/>
          </w:tcPr>
          <w:p w14:paraId="30195DBB">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10</w:t>
            </w:r>
          </w:p>
        </w:tc>
        <w:tc>
          <w:tcPr>
            <w:tcW w:w="996" w:type="dxa"/>
            <w:vAlign w:val="center"/>
          </w:tcPr>
          <w:p w14:paraId="7E9E3718">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7F2BD055">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□基本符合</w:t>
            </w:r>
          </w:p>
          <w:p w14:paraId="77057EF3">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81" w:type="dxa"/>
            <w:vAlign w:val="center"/>
          </w:tcPr>
          <w:p w14:paraId="23A42762">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01E55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67" w:type="dxa"/>
            <w:vMerge w:val="continue"/>
            <w:vAlign w:val="center"/>
          </w:tcPr>
          <w:p w14:paraId="312FFDC3">
            <w:pPr>
              <w:tabs>
                <w:tab w:val="left" w:pos="253"/>
              </w:tabs>
              <w:adjustRightInd w:val="0"/>
              <w:snapToGrid w:val="0"/>
              <w:rPr>
                <w:rFonts w:hint="eastAsia" w:ascii="方正仿宋_GBK" w:hAnsi="方正仿宋_GBK" w:eastAsia="方正仿宋_GBK" w:cs="方正仿宋_GBK"/>
                <w:color w:val="auto"/>
                <w:sz w:val="18"/>
                <w:szCs w:val="18"/>
              </w:rPr>
            </w:pPr>
          </w:p>
        </w:tc>
        <w:tc>
          <w:tcPr>
            <w:tcW w:w="778" w:type="dxa"/>
            <w:vAlign w:val="center"/>
          </w:tcPr>
          <w:p w14:paraId="3D36D093">
            <w:pPr>
              <w:tabs>
                <w:tab w:val="left" w:pos="320"/>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18.定期检测</w:t>
            </w:r>
          </w:p>
        </w:tc>
        <w:tc>
          <w:tcPr>
            <w:tcW w:w="3884" w:type="dxa"/>
            <w:vAlign w:val="center"/>
          </w:tcPr>
          <w:p w14:paraId="10300C27">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职业病危害严重的用人单位，应当委托具有相应资质的职业卫生技术服务机构，每年至少进行一次职业病危害因素检测。</w:t>
            </w:r>
          </w:p>
          <w:p w14:paraId="1D48E97B">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职业病危害一般的用人单位，应当委托具有相应资质的职业卫生技术服务机构，每三年至少进行一次职业病危害因素检测。</w:t>
            </w:r>
          </w:p>
        </w:tc>
        <w:tc>
          <w:tcPr>
            <w:tcW w:w="1645" w:type="dxa"/>
            <w:vAlign w:val="center"/>
          </w:tcPr>
          <w:p w14:paraId="704D3E15">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查阅年度职业病危害因素检测报告，核对是否覆盖所有接触职业病危害因素的工作场所和所有职业病危害因素</w:t>
            </w:r>
          </w:p>
        </w:tc>
        <w:tc>
          <w:tcPr>
            <w:tcW w:w="1385" w:type="dxa"/>
            <w:vAlign w:val="center"/>
          </w:tcPr>
          <w:p w14:paraId="0F59E13E">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按要求开展定期检测，且检测点覆盖所有接触职业病危害的场所，检测因素全面</w:t>
            </w:r>
          </w:p>
        </w:tc>
        <w:tc>
          <w:tcPr>
            <w:tcW w:w="1401" w:type="dxa"/>
            <w:vAlign w:val="center"/>
          </w:tcPr>
          <w:p w14:paraId="53F19E3E">
            <w:pPr>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1294" w:type="dxa"/>
            <w:vAlign w:val="center"/>
          </w:tcPr>
          <w:p w14:paraId="194FDC44">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未进行定期检测；或检测点未覆盖所有产生接触职业病危害的场所，或检测因素不全面，且未说明情况</w:t>
            </w:r>
          </w:p>
        </w:tc>
        <w:tc>
          <w:tcPr>
            <w:tcW w:w="1136" w:type="dxa"/>
            <w:vAlign w:val="center"/>
          </w:tcPr>
          <w:p w14:paraId="4E5BC9F3">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25" w:type="dxa"/>
            <w:vAlign w:val="center"/>
          </w:tcPr>
          <w:p w14:paraId="4E486524">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w:t>
            </w:r>
          </w:p>
        </w:tc>
        <w:tc>
          <w:tcPr>
            <w:tcW w:w="996" w:type="dxa"/>
            <w:vAlign w:val="center"/>
          </w:tcPr>
          <w:p w14:paraId="1A903027">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739CE560">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81" w:type="dxa"/>
            <w:vAlign w:val="center"/>
          </w:tcPr>
          <w:p w14:paraId="6A337897">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01B31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67" w:type="dxa"/>
            <w:vMerge w:val="continue"/>
            <w:vAlign w:val="center"/>
          </w:tcPr>
          <w:p w14:paraId="2D816691">
            <w:pPr>
              <w:tabs>
                <w:tab w:val="left" w:pos="253"/>
              </w:tabs>
              <w:adjustRightInd w:val="0"/>
              <w:snapToGrid w:val="0"/>
              <w:rPr>
                <w:rFonts w:hint="eastAsia" w:ascii="方正仿宋_GBK" w:hAnsi="方正仿宋_GBK" w:eastAsia="方正仿宋_GBK" w:cs="方正仿宋_GBK"/>
                <w:color w:val="auto"/>
                <w:sz w:val="18"/>
                <w:szCs w:val="18"/>
              </w:rPr>
            </w:pPr>
          </w:p>
        </w:tc>
        <w:tc>
          <w:tcPr>
            <w:tcW w:w="778" w:type="dxa"/>
            <w:vAlign w:val="center"/>
          </w:tcPr>
          <w:p w14:paraId="029622B2">
            <w:pPr>
              <w:tabs>
                <w:tab w:val="left" w:pos="320"/>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19.现状评价</w:t>
            </w:r>
          </w:p>
        </w:tc>
        <w:tc>
          <w:tcPr>
            <w:tcW w:w="3884" w:type="dxa"/>
            <w:vAlign w:val="center"/>
          </w:tcPr>
          <w:p w14:paraId="5BC74625">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(1)职业病危害严重的用人单位，委托具有相应资质的职业卫生技术服务机构，每三年至少进行一次职业病危害现状评价。</w:t>
            </w:r>
          </w:p>
          <w:p w14:paraId="08A78F38">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(2)发生职业病危害事故或者国家卫生健康委规定的其他情形的，应及时委托具有相应资质的职业卫生技术服务机构进行职业病危害现状评价。</w:t>
            </w:r>
          </w:p>
        </w:tc>
        <w:tc>
          <w:tcPr>
            <w:tcW w:w="1645" w:type="dxa"/>
            <w:vAlign w:val="center"/>
          </w:tcPr>
          <w:p w14:paraId="2CBD29CC">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重点检查职业病危害严重的用人单位是否开展现状评价；</w:t>
            </w:r>
            <w:r>
              <w:rPr>
                <w:rFonts w:hint="eastAsia" w:ascii="方正仿宋_GBK" w:hAnsi="方正仿宋_GBK" w:eastAsia="方正仿宋_GBK" w:cs="方正仿宋_GBK"/>
                <w:color w:val="auto"/>
                <w:sz w:val="18"/>
                <w:szCs w:val="18"/>
              </w:rPr>
              <w:t>查看发生职业病危害事故的情况以及是否按要求开展职业病危害现状评价</w:t>
            </w:r>
          </w:p>
        </w:tc>
        <w:tc>
          <w:tcPr>
            <w:tcW w:w="1385" w:type="dxa"/>
            <w:vAlign w:val="center"/>
          </w:tcPr>
          <w:p w14:paraId="4F78ADD4">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按要求开展职业病危害现状评价</w:t>
            </w:r>
          </w:p>
        </w:tc>
        <w:tc>
          <w:tcPr>
            <w:tcW w:w="1401" w:type="dxa"/>
            <w:vAlign w:val="center"/>
          </w:tcPr>
          <w:p w14:paraId="4EF4D49A">
            <w:pPr>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1294" w:type="dxa"/>
            <w:vAlign w:val="center"/>
          </w:tcPr>
          <w:p w14:paraId="40C77F70">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未按要求开展职业病危害现状评价；或评价范围未覆盖所有产生接触职业病危害的场所，且未说明情况</w:t>
            </w:r>
          </w:p>
        </w:tc>
        <w:tc>
          <w:tcPr>
            <w:tcW w:w="1136" w:type="dxa"/>
            <w:vAlign w:val="center"/>
          </w:tcPr>
          <w:p w14:paraId="0B26586C">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不属于职业病危害严重的用人单位且未发生职业病危害事故及国家卫生健康委规定的其他情形</w:t>
            </w:r>
          </w:p>
        </w:tc>
        <w:tc>
          <w:tcPr>
            <w:tcW w:w="425" w:type="dxa"/>
            <w:vAlign w:val="center"/>
          </w:tcPr>
          <w:p w14:paraId="4EBA6B97">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w:t>
            </w:r>
          </w:p>
        </w:tc>
        <w:tc>
          <w:tcPr>
            <w:tcW w:w="996" w:type="dxa"/>
            <w:vAlign w:val="center"/>
          </w:tcPr>
          <w:p w14:paraId="5045C272">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0BEE9E08">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p w14:paraId="017243D8">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□合理缺项</w:t>
            </w:r>
          </w:p>
        </w:tc>
        <w:tc>
          <w:tcPr>
            <w:tcW w:w="381" w:type="dxa"/>
            <w:vAlign w:val="center"/>
          </w:tcPr>
          <w:p w14:paraId="0C038BD6">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51B6F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67" w:type="dxa"/>
            <w:vMerge w:val="continue"/>
            <w:vAlign w:val="center"/>
          </w:tcPr>
          <w:p w14:paraId="3BD22431">
            <w:pPr>
              <w:tabs>
                <w:tab w:val="left" w:pos="253"/>
              </w:tabs>
              <w:adjustRightInd w:val="0"/>
              <w:snapToGrid w:val="0"/>
              <w:rPr>
                <w:rFonts w:hint="eastAsia" w:ascii="方正仿宋_GBK" w:hAnsi="方正仿宋_GBK" w:eastAsia="方正仿宋_GBK" w:cs="方正仿宋_GBK"/>
                <w:color w:val="auto"/>
                <w:sz w:val="18"/>
                <w:szCs w:val="18"/>
              </w:rPr>
            </w:pPr>
          </w:p>
        </w:tc>
        <w:tc>
          <w:tcPr>
            <w:tcW w:w="778" w:type="dxa"/>
            <w:vAlign w:val="center"/>
          </w:tcPr>
          <w:p w14:paraId="089FF336">
            <w:pPr>
              <w:tabs>
                <w:tab w:val="left" w:pos="320"/>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20.治理措施</w:t>
            </w:r>
          </w:p>
        </w:tc>
        <w:tc>
          <w:tcPr>
            <w:tcW w:w="3884" w:type="dxa"/>
            <w:vAlign w:val="center"/>
          </w:tcPr>
          <w:p w14:paraId="3933803C">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在日常的职业病危害监测或者定期检测、现状评价过程中，发现工作场所职业病危害因素不符合国家职业卫生标准和卫生要求时，应当立即采取相应治理措施，确保其符合职业卫生环境和条件的要求。</w:t>
            </w:r>
          </w:p>
        </w:tc>
        <w:tc>
          <w:tcPr>
            <w:tcW w:w="1645" w:type="dxa"/>
            <w:vAlign w:val="center"/>
          </w:tcPr>
          <w:p w14:paraId="54C43785">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查阅日常</w:t>
            </w:r>
            <w:r>
              <w:rPr>
                <w:rFonts w:hint="eastAsia" w:ascii="方正仿宋_GBK" w:hAnsi="方正仿宋_GBK" w:eastAsia="方正仿宋_GBK" w:cs="方正仿宋_GBK"/>
                <w:color w:val="auto"/>
                <w:kern w:val="0"/>
                <w:sz w:val="18"/>
                <w:szCs w:val="18"/>
              </w:rPr>
              <w:t>监测或者定期检测、现状评价中职业病危害因素超标场所及整改情况</w:t>
            </w:r>
          </w:p>
        </w:tc>
        <w:tc>
          <w:tcPr>
            <w:tcW w:w="1385" w:type="dxa"/>
            <w:vAlign w:val="center"/>
          </w:tcPr>
          <w:p w14:paraId="0463DF2C">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已按要求采取相应治理措施，治理效果良好，</w:t>
            </w:r>
            <w:r>
              <w:rPr>
                <w:rFonts w:hint="eastAsia" w:ascii="方正仿宋_GBK" w:hAnsi="方正仿宋_GBK" w:eastAsia="方正仿宋_GBK" w:cs="方正仿宋_GBK"/>
                <w:color w:val="auto"/>
                <w:kern w:val="0"/>
                <w:sz w:val="18"/>
                <w:szCs w:val="18"/>
              </w:rPr>
              <w:t>职业病危害因素强度或者浓度符合国家职业卫生标准的要求</w:t>
            </w:r>
          </w:p>
        </w:tc>
        <w:tc>
          <w:tcPr>
            <w:tcW w:w="1401" w:type="dxa"/>
            <w:vAlign w:val="center"/>
          </w:tcPr>
          <w:p w14:paraId="203A5939">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sz w:val="18"/>
                <w:szCs w:val="18"/>
              </w:rPr>
              <w:t>已按要求采取工程技术措施仍不能使作业岗位危害因素</w:t>
            </w:r>
            <w:r>
              <w:rPr>
                <w:rFonts w:hint="eastAsia" w:ascii="方正仿宋_GBK" w:hAnsi="方正仿宋_GBK" w:eastAsia="方正仿宋_GBK" w:cs="方正仿宋_GBK"/>
                <w:color w:val="auto"/>
                <w:kern w:val="0"/>
                <w:sz w:val="18"/>
                <w:szCs w:val="18"/>
              </w:rPr>
              <w:t>强度或者浓度</w:t>
            </w:r>
            <w:r>
              <w:rPr>
                <w:rFonts w:hint="eastAsia" w:ascii="方正仿宋_GBK" w:hAnsi="方正仿宋_GBK" w:eastAsia="方正仿宋_GBK" w:cs="方正仿宋_GBK"/>
                <w:color w:val="auto"/>
                <w:sz w:val="18"/>
                <w:szCs w:val="18"/>
              </w:rPr>
              <w:t>达到职业卫生标准，但通过管理措施，使劳动者实际接触水平符合</w:t>
            </w:r>
            <w:r>
              <w:rPr>
                <w:rFonts w:hint="eastAsia" w:ascii="方正仿宋_GBK" w:hAnsi="方正仿宋_GBK" w:eastAsia="方正仿宋_GBK" w:cs="方正仿宋_GBK"/>
                <w:color w:val="auto"/>
                <w:kern w:val="0"/>
                <w:sz w:val="18"/>
                <w:szCs w:val="18"/>
              </w:rPr>
              <w:t>要求。</w:t>
            </w:r>
          </w:p>
        </w:tc>
        <w:tc>
          <w:tcPr>
            <w:tcW w:w="1294" w:type="dxa"/>
            <w:vAlign w:val="center"/>
          </w:tcPr>
          <w:p w14:paraId="0241AF6B">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未按要求采取相应治理措施</w:t>
            </w:r>
          </w:p>
        </w:tc>
        <w:tc>
          <w:tcPr>
            <w:tcW w:w="1136" w:type="dxa"/>
            <w:vAlign w:val="center"/>
          </w:tcPr>
          <w:p w14:paraId="324902FB">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日常监测或定期检测、现状评价中均无不符合项</w:t>
            </w:r>
          </w:p>
        </w:tc>
        <w:tc>
          <w:tcPr>
            <w:tcW w:w="425" w:type="dxa"/>
            <w:vAlign w:val="center"/>
          </w:tcPr>
          <w:p w14:paraId="45D27795">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20</w:t>
            </w:r>
          </w:p>
        </w:tc>
        <w:tc>
          <w:tcPr>
            <w:tcW w:w="996" w:type="dxa"/>
            <w:vAlign w:val="center"/>
          </w:tcPr>
          <w:p w14:paraId="0F1CC8B8">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1109AD6D">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□基本符合</w:t>
            </w:r>
          </w:p>
          <w:p w14:paraId="67793A0C">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p w14:paraId="681AD11B">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□合理缺项</w:t>
            </w:r>
          </w:p>
        </w:tc>
        <w:tc>
          <w:tcPr>
            <w:tcW w:w="381" w:type="dxa"/>
            <w:vAlign w:val="center"/>
          </w:tcPr>
          <w:p w14:paraId="52CB5984">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35C04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01" w:hRule="atLeast"/>
        </w:trPr>
        <w:tc>
          <w:tcPr>
            <w:tcW w:w="667" w:type="dxa"/>
            <w:vMerge w:val="restart"/>
            <w:vAlign w:val="center"/>
          </w:tcPr>
          <w:p w14:paraId="250A0C6B">
            <w:pPr>
              <w:tabs>
                <w:tab w:val="left" w:pos="253"/>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kern w:val="0"/>
                <w:sz w:val="18"/>
                <w:szCs w:val="18"/>
              </w:rPr>
              <w:t>六、职业病防护设施和个人防护用品</w:t>
            </w:r>
          </w:p>
        </w:tc>
        <w:tc>
          <w:tcPr>
            <w:tcW w:w="778" w:type="dxa"/>
            <w:vAlign w:val="center"/>
          </w:tcPr>
          <w:p w14:paraId="4C284249">
            <w:pPr>
              <w:tabs>
                <w:tab w:val="left" w:pos="320"/>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21.设施配备</w:t>
            </w:r>
          </w:p>
        </w:tc>
        <w:tc>
          <w:tcPr>
            <w:tcW w:w="3884" w:type="dxa"/>
            <w:vAlign w:val="center"/>
          </w:tcPr>
          <w:p w14:paraId="67BFB4F2">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职业病防护设施配备齐全，并建立有职业病防护设施台账。</w:t>
            </w:r>
          </w:p>
        </w:tc>
        <w:tc>
          <w:tcPr>
            <w:tcW w:w="1645" w:type="dxa"/>
            <w:vAlign w:val="center"/>
          </w:tcPr>
          <w:p w14:paraId="546165E3">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重点检查矽尘、石棉粉尘、高毒或放射性工作场所的防护设施配备情况和台账建立情况</w:t>
            </w:r>
          </w:p>
        </w:tc>
        <w:tc>
          <w:tcPr>
            <w:tcW w:w="1385" w:type="dxa"/>
            <w:vAlign w:val="center"/>
          </w:tcPr>
          <w:p w14:paraId="6414038D">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职业病防护设施配备齐全，台账内容规范、齐全</w:t>
            </w:r>
          </w:p>
        </w:tc>
        <w:tc>
          <w:tcPr>
            <w:tcW w:w="1401" w:type="dxa"/>
            <w:vAlign w:val="center"/>
          </w:tcPr>
          <w:p w14:paraId="2260B0E1">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职业病防护设施配备基本齐全；或台账内容不规范或不齐全</w:t>
            </w:r>
          </w:p>
        </w:tc>
        <w:tc>
          <w:tcPr>
            <w:tcW w:w="1294" w:type="dxa"/>
            <w:vAlign w:val="center"/>
          </w:tcPr>
          <w:p w14:paraId="417995D1">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职业病防护设施配备不全；或未建立职业病防护设施台账</w:t>
            </w:r>
          </w:p>
        </w:tc>
        <w:tc>
          <w:tcPr>
            <w:tcW w:w="1136" w:type="dxa"/>
            <w:vAlign w:val="center"/>
          </w:tcPr>
          <w:p w14:paraId="42D0AC56">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25" w:type="dxa"/>
            <w:vAlign w:val="center"/>
          </w:tcPr>
          <w:p w14:paraId="5427AE98">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20</w:t>
            </w:r>
          </w:p>
        </w:tc>
        <w:tc>
          <w:tcPr>
            <w:tcW w:w="996" w:type="dxa"/>
            <w:vAlign w:val="center"/>
          </w:tcPr>
          <w:p w14:paraId="2CCF1051">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717C55AE">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□基本符合</w:t>
            </w:r>
          </w:p>
          <w:p w14:paraId="30419C00">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81" w:type="dxa"/>
            <w:vAlign w:val="center"/>
          </w:tcPr>
          <w:p w14:paraId="0B4B7892">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46B64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01" w:hRule="atLeast"/>
        </w:trPr>
        <w:tc>
          <w:tcPr>
            <w:tcW w:w="667" w:type="dxa"/>
            <w:vMerge w:val="continue"/>
            <w:vAlign w:val="center"/>
          </w:tcPr>
          <w:p w14:paraId="54468738">
            <w:pPr>
              <w:tabs>
                <w:tab w:val="left" w:pos="253"/>
              </w:tabs>
              <w:adjustRightInd w:val="0"/>
              <w:snapToGrid w:val="0"/>
              <w:rPr>
                <w:rFonts w:hint="eastAsia" w:ascii="方正仿宋_GBK" w:hAnsi="方正仿宋_GBK" w:eastAsia="方正仿宋_GBK" w:cs="方正仿宋_GBK"/>
                <w:color w:val="auto"/>
                <w:sz w:val="18"/>
                <w:szCs w:val="18"/>
              </w:rPr>
            </w:pPr>
          </w:p>
        </w:tc>
        <w:tc>
          <w:tcPr>
            <w:tcW w:w="778" w:type="dxa"/>
            <w:vAlign w:val="center"/>
          </w:tcPr>
          <w:p w14:paraId="7C2171CD">
            <w:pPr>
              <w:tabs>
                <w:tab w:val="left" w:pos="320"/>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22.设施维护和有效性</w:t>
            </w:r>
          </w:p>
        </w:tc>
        <w:tc>
          <w:tcPr>
            <w:tcW w:w="3884" w:type="dxa"/>
            <w:vAlign w:val="center"/>
          </w:tcPr>
          <w:p w14:paraId="474FE621">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及时维护、检修、定期检测职业病防护设施，确保职业病防护设施有效。</w:t>
            </w:r>
          </w:p>
        </w:tc>
        <w:tc>
          <w:tcPr>
            <w:tcW w:w="1645" w:type="dxa"/>
            <w:vAlign w:val="center"/>
          </w:tcPr>
          <w:p w14:paraId="10ADAAE0">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查阅防护设施设计资料、维修和检测记录，并现场检查设施运行情况</w:t>
            </w:r>
          </w:p>
        </w:tc>
        <w:tc>
          <w:tcPr>
            <w:tcW w:w="1385" w:type="dxa"/>
            <w:vAlign w:val="center"/>
          </w:tcPr>
          <w:p w14:paraId="5C9364DC">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定期对防护设施进行维护、检修，且设施正常运行</w:t>
            </w:r>
          </w:p>
        </w:tc>
        <w:tc>
          <w:tcPr>
            <w:tcW w:w="1401" w:type="dxa"/>
            <w:vAlign w:val="center"/>
          </w:tcPr>
          <w:p w14:paraId="25A04DDD">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个别设施不能正常运行</w:t>
            </w:r>
          </w:p>
        </w:tc>
        <w:tc>
          <w:tcPr>
            <w:tcW w:w="1294" w:type="dxa"/>
            <w:vAlign w:val="center"/>
          </w:tcPr>
          <w:p w14:paraId="717409D8">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大多数设施不能正常运行</w:t>
            </w:r>
          </w:p>
        </w:tc>
        <w:tc>
          <w:tcPr>
            <w:tcW w:w="1136" w:type="dxa"/>
            <w:vAlign w:val="center"/>
          </w:tcPr>
          <w:p w14:paraId="1B5FA67D">
            <w:pPr>
              <w:widowControl/>
              <w:adjustRightInd w:val="0"/>
              <w:snapToGrid w:val="0"/>
              <w:jc w:val="center"/>
              <w:rPr>
                <w:rFonts w:hint="eastAsia" w:ascii="方正仿宋_GBK" w:hAnsi="方正仿宋_GBK" w:eastAsia="方正仿宋_GBK" w:cs="方正仿宋_GBK"/>
                <w:color w:val="auto"/>
                <w:lang w:val="en"/>
              </w:rPr>
            </w:pPr>
            <w:r>
              <w:rPr>
                <w:rFonts w:hint="eastAsia" w:ascii="方正仿宋_GBK" w:hAnsi="方正仿宋_GBK" w:eastAsia="方正仿宋_GBK" w:cs="方正仿宋_GBK"/>
                <w:color w:val="auto"/>
                <w:lang w:val="en"/>
              </w:rPr>
              <w:t>-</w:t>
            </w:r>
          </w:p>
        </w:tc>
        <w:tc>
          <w:tcPr>
            <w:tcW w:w="425" w:type="dxa"/>
            <w:vAlign w:val="center"/>
          </w:tcPr>
          <w:p w14:paraId="2DF63BA3">
            <w:pPr>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15</w:t>
            </w:r>
          </w:p>
        </w:tc>
        <w:tc>
          <w:tcPr>
            <w:tcW w:w="996" w:type="dxa"/>
            <w:vAlign w:val="center"/>
          </w:tcPr>
          <w:p w14:paraId="1B544809">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6C4FAA87">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□基本符合</w:t>
            </w:r>
          </w:p>
          <w:p w14:paraId="104AB8C0">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81" w:type="dxa"/>
            <w:vAlign w:val="center"/>
          </w:tcPr>
          <w:p w14:paraId="3958BACD">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30BF6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67" w:type="dxa"/>
            <w:vMerge w:val="continue"/>
            <w:vAlign w:val="center"/>
          </w:tcPr>
          <w:p w14:paraId="129F0CED">
            <w:pPr>
              <w:tabs>
                <w:tab w:val="left" w:pos="253"/>
              </w:tabs>
              <w:adjustRightInd w:val="0"/>
              <w:snapToGrid w:val="0"/>
              <w:rPr>
                <w:rFonts w:hint="eastAsia" w:ascii="方正仿宋_GBK" w:hAnsi="方正仿宋_GBK" w:eastAsia="方正仿宋_GBK" w:cs="方正仿宋_GBK"/>
                <w:color w:val="auto"/>
                <w:sz w:val="18"/>
                <w:szCs w:val="18"/>
              </w:rPr>
            </w:pPr>
          </w:p>
        </w:tc>
        <w:tc>
          <w:tcPr>
            <w:tcW w:w="778" w:type="dxa"/>
            <w:vAlign w:val="center"/>
          </w:tcPr>
          <w:p w14:paraId="70DA565D">
            <w:pPr>
              <w:tabs>
                <w:tab w:val="left" w:pos="320"/>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23.防护用品配备</w:t>
            </w:r>
          </w:p>
        </w:tc>
        <w:tc>
          <w:tcPr>
            <w:tcW w:w="3884" w:type="dxa"/>
            <w:vAlign w:val="center"/>
          </w:tcPr>
          <w:p w14:paraId="64CA013A">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根据工作场所的职业病危害因素的种类、危害程度、对人体的影响途径以及现场生产条件、职业病危害因素的接触水平以及个人的生理和健康状况等特点，为劳动者配备适宜的符合国家或行业标准的个人职业病防护用品。</w:t>
            </w:r>
          </w:p>
        </w:tc>
        <w:tc>
          <w:tcPr>
            <w:tcW w:w="1645" w:type="dxa"/>
            <w:vAlign w:val="center"/>
          </w:tcPr>
          <w:p w14:paraId="3AD10728">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查阅防护用品的采购合同和计划，查阅发放登记账目、防护用品领取记录，现场检查</w:t>
            </w:r>
          </w:p>
        </w:tc>
        <w:tc>
          <w:tcPr>
            <w:tcW w:w="1385" w:type="dxa"/>
            <w:vAlign w:val="center"/>
          </w:tcPr>
          <w:p w14:paraId="12F0C8D1">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按标准配备符合防治职业病要求的个人防护用品</w:t>
            </w:r>
          </w:p>
        </w:tc>
        <w:tc>
          <w:tcPr>
            <w:tcW w:w="1401" w:type="dxa"/>
            <w:vAlign w:val="center"/>
          </w:tcPr>
          <w:p w14:paraId="6F403CEC">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个人防护用品配备不全</w:t>
            </w:r>
          </w:p>
        </w:tc>
        <w:tc>
          <w:tcPr>
            <w:tcW w:w="1294" w:type="dxa"/>
            <w:vAlign w:val="center"/>
          </w:tcPr>
          <w:p w14:paraId="0CF18BF1">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未配备个人防护用品；或配备的防护用品无效</w:t>
            </w:r>
          </w:p>
        </w:tc>
        <w:tc>
          <w:tcPr>
            <w:tcW w:w="1136" w:type="dxa"/>
            <w:vAlign w:val="center"/>
          </w:tcPr>
          <w:p w14:paraId="3A0EC6BD">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25" w:type="dxa"/>
            <w:vAlign w:val="center"/>
          </w:tcPr>
          <w:p w14:paraId="55A6A565">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20</w:t>
            </w:r>
          </w:p>
        </w:tc>
        <w:tc>
          <w:tcPr>
            <w:tcW w:w="996" w:type="dxa"/>
            <w:vAlign w:val="center"/>
          </w:tcPr>
          <w:p w14:paraId="0A7350CC">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1F900590">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□基本符合</w:t>
            </w:r>
          </w:p>
          <w:p w14:paraId="3476E951">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81" w:type="dxa"/>
            <w:vAlign w:val="center"/>
          </w:tcPr>
          <w:p w14:paraId="03563278">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410AC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67" w:type="dxa"/>
            <w:vMerge w:val="continue"/>
            <w:vAlign w:val="center"/>
          </w:tcPr>
          <w:p w14:paraId="0D842B92">
            <w:pPr>
              <w:tabs>
                <w:tab w:val="left" w:pos="253"/>
              </w:tabs>
              <w:adjustRightInd w:val="0"/>
              <w:snapToGrid w:val="0"/>
              <w:rPr>
                <w:rFonts w:hint="eastAsia" w:ascii="方正仿宋_GBK" w:hAnsi="方正仿宋_GBK" w:eastAsia="方正仿宋_GBK" w:cs="方正仿宋_GBK"/>
                <w:color w:val="auto"/>
                <w:sz w:val="18"/>
                <w:szCs w:val="18"/>
              </w:rPr>
            </w:pPr>
          </w:p>
        </w:tc>
        <w:tc>
          <w:tcPr>
            <w:tcW w:w="778" w:type="dxa"/>
            <w:vAlign w:val="center"/>
          </w:tcPr>
          <w:p w14:paraId="07BC4AAC">
            <w:pPr>
              <w:tabs>
                <w:tab w:val="left" w:pos="320"/>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24.防护用品佩戴</w:t>
            </w:r>
          </w:p>
        </w:tc>
        <w:tc>
          <w:tcPr>
            <w:tcW w:w="3884" w:type="dxa"/>
            <w:vAlign w:val="center"/>
          </w:tcPr>
          <w:p w14:paraId="20186570">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督促、指导劳动者按照使用规则正确佩戴、使用，不得发放钱物替代发放职业病防护用品。</w:t>
            </w:r>
          </w:p>
        </w:tc>
        <w:tc>
          <w:tcPr>
            <w:tcW w:w="1645" w:type="dxa"/>
            <w:vAlign w:val="center"/>
          </w:tcPr>
          <w:p w14:paraId="3FD88569">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查阅培训记录，现场检查</w:t>
            </w:r>
          </w:p>
        </w:tc>
        <w:tc>
          <w:tcPr>
            <w:tcW w:w="1385" w:type="dxa"/>
            <w:vAlign w:val="center"/>
          </w:tcPr>
          <w:p w14:paraId="0213E15E">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所有人员正确佩戴防护用品</w:t>
            </w:r>
          </w:p>
        </w:tc>
        <w:tc>
          <w:tcPr>
            <w:tcW w:w="1401" w:type="dxa"/>
            <w:vAlign w:val="center"/>
          </w:tcPr>
          <w:p w14:paraId="01832F4E">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个别人员未正确佩戴防护用品</w:t>
            </w:r>
          </w:p>
        </w:tc>
        <w:tc>
          <w:tcPr>
            <w:tcW w:w="1294" w:type="dxa"/>
            <w:vAlign w:val="center"/>
          </w:tcPr>
          <w:p w14:paraId="05B43C25">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多数人员未正确佩戴防护用品</w:t>
            </w:r>
          </w:p>
        </w:tc>
        <w:tc>
          <w:tcPr>
            <w:tcW w:w="1136" w:type="dxa"/>
            <w:vAlign w:val="center"/>
          </w:tcPr>
          <w:p w14:paraId="21AE0817">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25" w:type="dxa"/>
            <w:vAlign w:val="center"/>
          </w:tcPr>
          <w:p w14:paraId="6564AE3F">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15</w:t>
            </w:r>
          </w:p>
        </w:tc>
        <w:tc>
          <w:tcPr>
            <w:tcW w:w="996" w:type="dxa"/>
            <w:vAlign w:val="center"/>
          </w:tcPr>
          <w:p w14:paraId="5161E096">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37B705F1">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□基本符合</w:t>
            </w:r>
          </w:p>
          <w:p w14:paraId="16AB1071">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81" w:type="dxa"/>
            <w:vAlign w:val="center"/>
          </w:tcPr>
          <w:p w14:paraId="64FE0E50">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40D96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67" w:type="dxa"/>
            <w:vMerge w:val="continue"/>
            <w:vAlign w:val="center"/>
          </w:tcPr>
          <w:p w14:paraId="5D80113A">
            <w:pPr>
              <w:tabs>
                <w:tab w:val="left" w:pos="253"/>
              </w:tabs>
              <w:adjustRightInd w:val="0"/>
              <w:snapToGrid w:val="0"/>
              <w:rPr>
                <w:rFonts w:hint="eastAsia" w:ascii="方正仿宋_GBK" w:hAnsi="方正仿宋_GBK" w:eastAsia="方正仿宋_GBK" w:cs="方正仿宋_GBK"/>
                <w:color w:val="auto"/>
                <w:sz w:val="18"/>
                <w:szCs w:val="18"/>
              </w:rPr>
            </w:pPr>
          </w:p>
        </w:tc>
        <w:tc>
          <w:tcPr>
            <w:tcW w:w="778" w:type="dxa"/>
            <w:vAlign w:val="center"/>
          </w:tcPr>
          <w:p w14:paraId="7DCA7FB5">
            <w:pPr>
              <w:tabs>
                <w:tab w:val="left" w:pos="320"/>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25.防护用品维护</w:t>
            </w:r>
          </w:p>
        </w:tc>
        <w:tc>
          <w:tcPr>
            <w:tcW w:w="3884" w:type="dxa"/>
            <w:vAlign w:val="center"/>
          </w:tcPr>
          <w:p w14:paraId="53E04298">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职业病防护用品应当进行经常性检修、维护，并定期检测防护性能和效果，确保其处于正常状态。</w:t>
            </w:r>
          </w:p>
        </w:tc>
        <w:tc>
          <w:tcPr>
            <w:tcW w:w="1645" w:type="dxa"/>
            <w:vAlign w:val="center"/>
          </w:tcPr>
          <w:p w14:paraId="22E69DE5">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查阅督促使用检查记录及维修检测记录</w:t>
            </w:r>
          </w:p>
        </w:tc>
        <w:tc>
          <w:tcPr>
            <w:tcW w:w="1385" w:type="dxa"/>
            <w:vAlign w:val="center"/>
          </w:tcPr>
          <w:p w14:paraId="793D3D5F">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定期对防护用品进行维护，且记录齐全</w:t>
            </w:r>
          </w:p>
        </w:tc>
        <w:tc>
          <w:tcPr>
            <w:tcW w:w="1401" w:type="dxa"/>
            <w:vAlign w:val="center"/>
          </w:tcPr>
          <w:p w14:paraId="72EA44B2">
            <w:pPr>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1294" w:type="dxa"/>
            <w:vAlign w:val="center"/>
          </w:tcPr>
          <w:p w14:paraId="670AAB46">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未定期对防护用品进行维护</w:t>
            </w:r>
          </w:p>
        </w:tc>
        <w:tc>
          <w:tcPr>
            <w:tcW w:w="1136" w:type="dxa"/>
            <w:vAlign w:val="center"/>
          </w:tcPr>
          <w:p w14:paraId="5879798F">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w:t>
            </w:r>
          </w:p>
        </w:tc>
        <w:tc>
          <w:tcPr>
            <w:tcW w:w="425" w:type="dxa"/>
            <w:vAlign w:val="center"/>
          </w:tcPr>
          <w:p w14:paraId="05D06398">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5</w:t>
            </w:r>
          </w:p>
        </w:tc>
        <w:tc>
          <w:tcPr>
            <w:tcW w:w="996" w:type="dxa"/>
            <w:vAlign w:val="center"/>
          </w:tcPr>
          <w:p w14:paraId="4563C182">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063F1C9E">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81" w:type="dxa"/>
            <w:vAlign w:val="center"/>
          </w:tcPr>
          <w:p w14:paraId="0B69D75E">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48117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1" w:hRule="atLeast"/>
        </w:trPr>
        <w:tc>
          <w:tcPr>
            <w:tcW w:w="667" w:type="dxa"/>
            <w:vMerge w:val="restart"/>
            <w:vAlign w:val="center"/>
          </w:tcPr>
          <w:p w14:paraId="6EB489E8">
            <w:pPr>
              <w:tabs>
                <w:tab w:val="left" w:pos="253"/>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lang w:val="en-US" w:eastAsia="zh-CN"/>
              </w:rPr>
              <w:t>七</w:t>
            </w:r>
            <w:r>
              <w:rPr>
                <w:rFonts w:hint="eastAsia" w:ascii="方正仿宋_GBK" w:hAnsi="方正仿宋_GBK" w:eastAsia="方正仿宋_GBK" w:cs="方正仿宋_GBK"/>
                <w:color w:val="auto"/>
                <w:sz w:val="18"/>
                <w:szCs w:val="18"/>
              </w:rPr>
              <w:t>、职业病危害告知</w:t>
            </w:r>
          </w:p>
        </w:tc>
        <w:tc>
          <w:tcPr>
            <w:tcW w:w="778" w:type="dxa"/>
            <w:vAlign w:val="center"/>
          </w:tcPr>
          <w:p w14:paraId="411A4ECC">
            <w:pPr>
              <w:tabs>
                <w:tab w:val="left" w:pos="320"/>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26.合同告知</w:t>
            </w:r>
          </w:p>
        </w:tc>
        <w:tc>
          <w:tcPr>
            <w:tcW w:w="3884" w:type="dxa"/>
            <w:vAlign w:val="center"/>
          </w:tcPr>
          <w:p w14:paraId="5281014E">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与劳动者订立或变更劳动合同时，将工作过程中可能产生的职业病危害及其后果、职业病防护措施和待遇等如实告知劳动者，并在职业病危害附加合同告知书中写明，不得隐瞒或者欺骗。</w:t>
            </w:r>
          </w:p>
        </w:tc>
        <w:tc>
          <w:tcPr>
            <w:tcW w:w="1645" w:type="dxa"/>
            <w:vAlign w:val="center"/>
          </w:tcPr>
          <w:p w14:paraId="5E97871E">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抽查劳动合同是否有相关条款进行告知，或有无补充合同或专项合同</w:t>
            </w:r>
          </w:p>
        </w:tc>
        <w:tc>
          <w:tcPr>
            <w:tcW w:w="1385" w:type="dxa"/>
            <w:vAlign w:val="center"/>
          </w:tcPr>
          <w:p w14:paraId="59D32C9B">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按要求进行职业病危害告知，告知内容包括岗位接触的职业病危害及其后果、防护措施等</w:t>
            </w:r>
          </w:p>
        </w:tc>
        <w:tc>
          <w:tcPr>
            <w:tcW w:w="1401" w:type="dxa"/>
            <w:vAlign w:val="center"/>
          </w:tcPr>
          <w:p w14:paraId="06499905">
            <w:pPr>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1294" w:type="dxa"/>
            <w:vAlign w:val="center"/>
          </w:tcPr>
          <w:p w14:paraId="5D45F3FC">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未按要求进行职业病危害告知，或告知内容与实际不符</w:t>
            </w:r>
          </w:p>
        </w:tc>
        <w:tc>
          <w:tcPr>
            <w:tcW w:w="1136" w:type="dxa"/>
            <w:vAlign w:val="center"/>
          </w:tcPr>
          <w:p w14:paraId="4DF2DE2D">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25" w:type="dxa"/>
            <w:vAlign w:val="center"/>
          </w:tcPr>
          <w:p w14:paraId="66AB2D0B">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w:t>
            </w:r>
          </w:p>
        </w:tc>
        <w:tc>
          <w:tcPr>
            <w:tcW w:w="996" w:type="dxa"/>
            <w:vAlign w:val="center"/>
          </w:tcPr>
          <w:p w14:paraId="713229B3">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7E5051F3">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81" w:type="dxa"/>
            <w:vAlign w:val="center"/>
          </w:tcPr>
          <w:p w14:paraId="0C3ED0BA">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612B4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0" w:hRule="atLeast"/>
        </w:trPr>
        <w:tc>
          <w:tcPr>
            <w:tcW w:w="667" w:type="dxa"/>
            <w:vMerge w:val="continue"/>
            <w:vAlign w:val="center"/>
          </w:tcPr>
          <w:p w14:paraId="439C3D7E">
            <w:pPr>
              <w:tabs>
                <w:tab w:val="left" w:pos="253"/>
              </w:tabs>
              <w:adjustRightInd w:val="0"/>
              <w:snapToGrid w:val="0"/>
              <w:rPr>
                <w:rFonts w:hint="eastAsia" w:ascii="方正仿宋_GBK" w:hAnsi="方正仿宋_GBK" w:eastAsia="方正仿宋_GBK" w:cs="方正仿宋_GBK"/>
                <w:color w:val="auto"/>
                <w:sz w:val="18"/>
                <w:szCs w:val="18"/>
              </w:rPr>
            </w:pPr>
          </w:p>
        </w:tc>
        <w:tc>
          <w:tcPr>
            <w:tcW w:w="778" w:type="dxa"/>
            <w:vAlign w:val="center"/>
          </w:tcPr>
          <w:p w14:paraId="49136B6E">
            <w:pPr>
              <w:tabs>
                <w:tab w:val="left" w:pos="320"/>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27.公告栏</w:t>
            </w:r>
          </w:p>
        </w:tc>
        <w:tc>
          <w:tcPr>
            <w:tcW w:w="3884" w:type="dxa"/>
            <w:vAlign w:val="center"/>
          </w:tcPr>
          <w:p w14:paraId="7B36736A">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在醒目位置设置公告栏，公布有关职业病防治的规章制度、操作规程、职业病危害事故应急救援措施。</w:t>
            </w:r>
          </w:p>
        </w:tc>
        <w:tc>
          <w:tcPr>
            <w:tcW w:w="1645" w:type="dxa"/>
            <w:vAlign w:val="center"/>
          </w:tcPr>
          <w:p w14:paraId="118D0A91">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现场检查核实公告栏</w:t>
            </w:r>
          </w:p>
        </w:tc>
        <w:tc>
          <w:tcPr>
            <w:tcW w:w="1385" w:type="dxa"/>
            <w:vAlign w:val="center"/>
          </w:tcPr>
          <w:p w14:paraId="167B11A6">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设置有公告栏，且内容齐全</w:t>
            </w:r>
          </w:p>
        </w:tc>
        <w:tc>
          <w:tcPr>
            <w:tcW w:w="1401" w:type="dxa"/>
            <w:vAlign w:val="center"/>
          </w:tcPr>
          <w:p w14:paraId="44351422">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设置有公告栏，但内容不规范</w:t>
            </w:r>
          </w:p>
        </w:tc>
        <w:tc>
          <w:tcPr>
            <w:tcW w:w="1294" w:type="dxa"/>
            <w:vAlign w:val="center"/>
          </w:tcPr>
          <w:p w14:paraId="1381E325">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未设置公告栏</w:t>
            </w:r>
          </w:p>
        </w:tc>
        <w:tc>
          <w:tcPr>
            <w:tcW w:w="1136" w:type="dxa"/>
            <w:vAlign w:val="center"/>
          </w:tcPr>
          <w:p w14:paraId="044190E7">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25" w:type="dxa"/>
            <w:vAlign w:val="center"/>
          </w:tcPr>
          <w:p w14:paraId="185DC8BB">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5</w:t>
            </w:r>
          </w:p>
        </w:tc>
        <w:tc>
          <w:tcPr>
            <w:tcW w:w="996" w:type="dxa"/>
            <w:vAlign w:val="center"/>
          </w:tcPr>
          <w:p w14:paraId="0DE7997A">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3D444F24">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□基本符合</w:t>
            </w:r>
          </w:p>
          <w:p w14:paraId="30951F5D">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81" w:type="dxa"/>
            <w:vAlign w:val="center"/>
          </w:tcPr>
          <w:p w14:paraId="61BB3589">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136FB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67" w:type="dxa"/>
            <w:vMerge w:val="continue"/>
            <w:vAlign w:val="center"/>
          </w:tcPr>
          <w:p w14:paraId="0490CD8C">
            <w:pPr>
              <w:tabs>
                <w:tab w:val="left" w:pos="253"/>
              </w:tabs>
              <w:adjustRightInd w:val="0"/>
              <w:snapToGrid w:val="0"/>
              <w:rPr>
                <w:rFonts w:hint="eastAsia" w:ascii="方正仿宋_GBK" w:hAnsi="方正仿宋_GBK" w:eastAsia="方正仿宋_GBK" w:cs="方正仿宋_GBK"/>
                <w:color w:val="auto"/>
                <w:sz w:val="18"/>
                <w:szCs w:val="18"/>
              </w:rPr>
            </w:pPr>
          </w:p>
        </w:tc>
        <w:tc>
          <w:tcPr>
            <w:tcW w:w="778" w:type="dxa"/>
            <w:vAlign w:val="center"/>
          </w:tcPr>
          <w:p w14:paraId="177AA90A">
            <w:pPr>
              <w:tabs>
                <w:tab w:val="left" w:pos="320"/>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28.警示告知</w:t>
            </w:r>
          </w:p>
        </w:tc>
        <w:tc>
          <w:tcPr>
            <w:tcW w:w="3884" w:type="dxa"/>
            <w:vAlign w:val="center"/>
          </w:tcPr>
          <w:p w14:paraId="08E6DFF7">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存在或者产生职业病危害的工作场所、作业岗位、设备、设施，按照《工作场所职业病危害警示标识》(GBZ158)的规定，在醒目位置设置图形、警示线、警示语句等警示标识和中文警示说明。产生严重职业病危害的作业岗位，应在醒目位置设置职业病危害告知卡。</w:t>
            </w:r>
          </w:p>
        </w:tc>
        <w:tc>
          <w:tcPr>
            <w:tcW w:w="1645" w:type="dxa"/>
            <w:vAlign w:val="center"/>
          </w:tcPr>
          <w:p w14:paraId="3E256D71">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重点检查存在矽尘、石棉粉尘、“致癌”、“致畸”等有害物质或者可能导致急性职业性中毒和放射性物质的岗位</w:t>
            </w:r>
          </w:p>
        </w:tc>
        <w:tc>
          <w:tcPr>
            <w:tcW w:w="1385" w:type="dxa"/>
            <w:vAlign w:val="center"/>
          </w:tcPr>
          <w:p w14:paraId="307E1E60">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现场按要求规范设置警示标识，产生严重职业病危害的作业岗位设置有告知卡</w:t>
            </w:r>
          </w:p>
        </w:tc>
        <w:tc>
          <w:tcPr>
            <w:tcW w:w="1401" w:type="dxa"/>
            <w:vAlign w:val="center"/>
          </w:tcPr>
          <w:p w14:paraId="38F0F9F0">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现场设置有警示标识和告知卡，但不全面或不规范</w:t>
            </w:r>
          </w:p>
        </w:tc>
        <w:tc>
          <w:tcPr>
            <w:tcW w:w="1294" w:type="dxa"/>
            <w:vAlign w:val="center"/>
          </w:tcPr>
          <w:p w14:paraId="3101598D">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现场未设置警示标识或产生严重职业病危害的作业岗位未设置告知卡</w:t>
            </w:r>
          </w:p>
        </w:tc>
        <w:tc>
          <w:tcPr>
            <w:tcW w:w="1136" w:type="dxa"/>
            <w:vAlign w:val="center"/>
          </w:tcPr>
          <w:p w14:paraId="76D85597">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25" w:type="dxa"/>
            <w:vAlign w:val="center"/>
          </w:tcPr>
          <w:p w14:paraId="77E7398F">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15</w:t>
            </w:r>
          </w:p>
        </w:tc>
        <w:tc>
          <w:tcPr>
            <w:tcW w:w="996" w:type="dxa"/>
            <w:vAlign w:val="center"/>
          </w:tcPr>
          <w:p w14:paraId="387B0B8E">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70C4F69C">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□基本符合</w:t>
            </w:r>
          </w:p>
          <w:p w14:paraId="1CFF2AA3">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81" w:type="dxa"/>
            <w:vAlign w:val="center"/>
          </w:tcPr>
          <w:p w14:paraId="1BCACBD3">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7BE4E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05" w:hRule="atLeast"/>
        </w:trPr>
        <w:tc>
          <w:tcPr>
            <w:tcW w:w="667" w:type="dxa"/>
            <w:vMerge w:val="restart"/>
            <w:vAlign w:val="center"/>
          </w:tcPr>
          <w:p w14:paraId="324849F7">
            <w:pPr>
              <w:tabs>
                <w:tab w:val="left" w:pos="253"/>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kern w:val="0"/>
                <w:sz w:val="18"/>
                <w:szCs w:val="18"/>
                <w:lang w:val="en-US" w:eastAsia="zh-CN"/>
              </w:rPr>
              <w:t>八</w:t>
            </w:r>
            <w:r>
              <w:rPr>
                <w:rFonts w:hint="eastAsia" w:ascii="方正仿宋_GBK" w:hAnsi="方正仿宋_GBK" w:eastAsia="方正仿宋_GBK" w:cs="方正仿宋_GBK"/>
                <w:color w:val="auto"/>
                <w:kern w:val="0"/>
                <w:sz w:val="18"/>
                <w:szCs w:val="18"/>
              </w:rPr>
              <w:t>、职业卫生宣传教育培训</w:t>
            </w:r>
          </w:p>
        </w:tc>
        <w:tc>
          <w:tcPr>
            <w:tcW w:w="778" w:type="dxa"/>
            <w:vAlign w:val="center"/>
          </w:tcPr>
          <w:p w14:paraId="01119DF0">
            <w:pPr>
              <w:tabs>
                <w:tab w:val="left" w:pos="320"/>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29.主要负责人和职业卫生管理人员培训</w:t>
            </w:r>
          </w:p>
        </w:tc>
        <w:tc>
          <w:tcPr>
            <w:tcW w:w="3884" w:type="dxa"/>
            <w:vAlign w:val="center"/>
          </w:tcPr>
          <w:p w14:paraId="2B4F084E">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主要负责人和职业卫生管理人员应当具备与本单位所从事的生产经营活动相适应的职业卫生知识和管理能力，并接受职业卫生培训。</w:t>
            </w:r>
          </w:p>
        </w:tc>
        <w:tc>
          <w:tcPr>
            <w:tcW w:w="1645" w:type="dxa"/>
            <w:vAlign w:val="center"/>
          </w:tcPr>
          <w:p w14:paraId="11FBCE23">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查看培训证书或相关培训证明材料</w:t>
            </w:r>
          </w:p>
        </w:tc>
        <w:tc>
          <w:tcPr>
            <w:tcW w:w="1385" w:type="dxa"/>
            <w:vAlign w:val="center"/>
          </w:tcPr>
          <w:p w14:paraId="392BF878">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主要负责人和职业卫生管理人员均有培训证明材料，且培训内容、培训时间和培训周期符合要求</w:t>
            </w:r>
          </w:p>
        </w:tc>
        <w:tc>
          <w:tcPr>
            <w:tcW w:w="1401" w:type="dxa"/>
            <w:vAlign w:val="center"/>
          </w:tcPr>
          <w:p w14:paraId="2B75BBA7">
            <w:pPr>
              <w:adjustRightInd w:val="0"/>
              <w:snapToGrid w:val="0"/>
              <w:jc w:val="center"/>
              <w:rPr>
                <w:rFonts w:hint="eastAsia" w:ascii="方正仿宋_GBK" w:hAnsi="方正仿宋_GBK" w:eastAsia="方正仿宋_GBK" w:cs="方正仿宋_GBK"/>
                <w:color w:val="auto"/>
                <w:sz w:val="18"/>
                <w:szCs w:val="18"/>
                <w:lang w:val="en"/>
              </w:rPr>
            </w:pPr>
            <w:r>
              <w:rPr>
                <w:rFonts w:hint="eastAsia" w:ascii="方正仿宋_GBK" w:hAnsi="方正仿宋_GBK" w:eastAsia="方正仿宋_GBK" w:cs="方正仿宋_GBK"/>
                <w:color w:val="auto"/>
                <w:sz w:val="18"/>
                <w:szCs w:val="18"/>
                <w:lang w:val="en"/>
              </w:rPr>
              <w:t>-</w:t>
            </w:r>
          </w:p>
        </w:tc>
        <w:tc>
          <w:tcPr>
            <w:tcW w:w="1294" w:type="dxa"/>
            <w:vAlign w:val="center"/>
          </w:tcPr>
          <w:p w14:paraId="405BFA49">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主要负责人或职业卫生管理人员无培训证明材料，或培训内容、培训时间和培训周期不符合要求</w:t>
            </w:r>
          </w:p>
        </w:tc>
        <w:tc>
          <w:tcPr>
            <w:tcW w:w="1136" w:type="dxa"/>
            <w:vAlign w:val="center"/>
          </w:tcPr>
          <w:p w14:paraId="0E4CF255">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25" w:type="dxa"/>
            <w:vAlign w:val="center"/>
          </w:tcPr>
          <w:p w14:paraId="6C131C5D">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w:t>
            </w:r>
          </w:p>
        </w:tc>
        <w:tc>
          <w:tcPr>
            <w:tcW w:w="996" w:type="dxa"/>
            <w:vAlign w:val="center"/>
          </w:tcPr>
          <w:p w14:paraId="7E6C5FC6">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08C34E2A">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81" w:type="dxa"/>
            <w:vAlign w:val="center"/>
          </w:tcPr>
          <w:p w14:paraId="0B92C476">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00932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67" w:type="dxa"/>
            <w:vMerge w:val="continue"/>
            <w:vAlign w:val="center"/>
          </w:tcPr>
          <w:p w14:paraId="55C53DAF">
            <w:pPr>
              <w:tabs>
                <w:tab w:val="left" w:pos="253"/>
              </w:tabs>
              <w:adjustRightInd w:val="0"/>
              <w:snapToGrid w:val="0"/>
              <w:rPr>
                <w:rFonts w:hint="eastAsia" w:ascii="方正仿宋_GBK" w:hAnsi="方正仿宋_GBK" w:eastAsia="方正仿宋_GBK" w:cs="方正仿宋_GBK"/>
                <w:color w:val="auto"/>
                <w:sz w:val="18"/>
                <w:szCs w:val="18"/>
              </w:rPr>
            </w:pPr>
          </w:p>
        </w:tc>
        <w:tc>
          <w:tcPr>
            <w:tcW w:w="778" w:type="dxa"/>
            <w:vAlign w:val="center"/>
          </w:tcPr>
          <w:p w14:paraId="1CDACC9D">
            <w:pPr>
              <w:tabs>
                <w:tab w:val="left" w:pos="320"/>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30.上岗前职业卫生培训</w:t>
            </w:r>
          </w:p>
        </w:tc>
        <w:tc>
          <w:tcPr>
            <w:tcW w:w="3884" w:type="dxa"/>
            <w:vAlign w:val="center"/>
          </w:tcPr>
          <w:p w14:paraId="6D6BA88B">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(1)对劳动者进行上岗前职业卫生培训。</w:t>
            </w:r>
          </w:p>
          <w:p w14:paraId="62507A01">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(2)因变更工艺、技术、设备或材料，或者岗位调整导致劳动者接触的职业病危害因素发生变化，对劳动者进行上岗前职业卫生培训。</w:t>
            </w:r>
          </w:p>
        </w:tc>
        <w:tc>
          <w:tcPr>
            <w:tcW w:w="1645" w:type="dxa"/>
            <w:vAlign w:val="center"/>
          </w:tcPr>
          <w:p w14:paraId="2BB11F57">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查看培训教材、资料、记录和试卷</w:t>
            </w:r>
          </w:p>
        </w:tc>
        <w:tc>
          <w:tcPr>
            <w:tcW w:w="1385" w:type="dxa"/>
            <w:vAlign w:val="center"/>
          </w:tcPr>
          <w:p w14:paraId="4B27B18F">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按照规定对上岗前的劳动者进行职业卫生培训，且培训内容、培训时间符合要求</w:t>
            </w:r>
          </w:p>
        </w:tc>
        <w:tc>
          <w:tcPr>
            <w:tcW w:w="1401" w:type="dxa"/>
            <w:vAlign w:val="center"/>
          </w:tcPr>
          <w:p w14:paraId="5C10C7B2">
            <w:pPr>
              <w:adjustRightInd w:val="0"/>
              <w:snapToGrid w:val="0"/>
              <w:jc w:val="center"/>
              <w:rPr>
                <w:rFonts w:hint="eastAsia" w:ascii="方正仿宋_GBK" w:hAnsi="方正仿宋_GBK" w:eastAsia="方正仿宋_GBK" w:cs="方正仿宋_GBK"/>
                <w:color w:val="auto"/>
                <w:sz w:val="18"/>
                <w:szCs w:val="18"/>
                <w:lang w:val="en"/>
              </w:rPr>
            </w:pPr>
            <w:r>
              <w:rPr>
                <w:rFonts w:hint="eastAsia" w:ascii="方正仿宋_GBK" w:hAnsi="方正仿宋_GBK" w:eastAsia="方正仿宋_GBK" w:cs="方正仿宋_GBK"/>
                <w:color w:val="auto"/>
                <w:sz w:val="18"/>
                <w:szCs w:val="18"/>
                <w:lang w:val="en"/>
              </w:rPr>
              <w:t>-</w:t>
            </w:r>
          </w:p>
        </w:tc>
        <w:tc>
          <w:tcPr>
            <w:tcW w:w="1294" w:type="dxa"/>
            <w:vAlign w:val="center"/>
          </w:tcPr>
          <w:p w14:paraId="19A3C5F1">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未按照规定对上岗前的劳动者进行职业卫生培训，或培训内容、培训时间不符合要求</w:t>
            </w:r>
          </w:p>
        </w:tc>
        <w:tc>
          <w:tcPr>
            <w:tcW w:w="1136" w:type="dxa"/>
            <w:vAlign w:val="center"/>
          </w:tcPr>
          <w:p w14:paraId="4536302C">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25" w:type="dxa"/>
            <w:vAlign w:val="center"/>
          </w:tcPr>
          <w:p w14:paraId="7C0C4909">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10</w:t>
            </w:r>
          </w:p>
        </w:tc>
        <w:tc>
          <w:tcPr>
            <w:tcW w:w="996" w:type="dxa"/>
            <w:vAlign w:val="center"/>
          </w:tcPr>
          <w:p w14:paraId="2076E321">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3485BF61">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81" w:type="dxa"/>
            <w:vAlign w:val="center"/>
          </w:tcPr>
          <w:p w14:paraId="21270F72">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6686B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67" w:type="dxa"/>
            <w:vMerge w:val="continue"/>
            <w:vAlign w:val="center"/>
          </w:tcPr>
          <w:p w14:paraId="4D3EF8BB">
            <w:pPr>
              <w:tabs>
                <w:tab w:val="left" w:pos="253"/>
              </w:tabs>
              <w:adjustRightInd w:val="0"/>
              <w:snapToGrid w:val="0"/>
              <w:rPr>
                <w:rFonts w:hint="eastAsia" w:ascii="方正仿宋_GBK" w:hAnsi="方正仿宋_GBK" w:eastAsia="方正仿宋_GBK" w:cs="方正仿宋_GBK"/>
                <w:color w:val="auto"/>
                <w:sz w:val="18"/>
                <w:szCs w:val="18"/>
              </w:rPr>
            </w:pPr>
          </w:p>
        </w:tc>
        <w:tc>
          <w:tcPr>
            <w:tcW w:w="778" w:type="dxa"/>
            <w:vAlign w:val="center"/>
          </w:tcPr>
          <w:p w14:paraId="79601643">
            <w:pPr>
              <w:tabs>
                <w:tab w:val="left" w:pos="320"/>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31.在岗期间职业卫生培训</w:t>
            </w:r>
          </w:p>
        </w:tc>
        <w:tc>
          <w:tcPr>
            <w:tcW w:w="3884" w:type="dxa"/>
            <w:vAlign w:val="center"/>
          </w:tcPr>
          <w:p w14:paraId="7C7E2217">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定期对在岗期间的劳动者进行职业卫生培训。</w:t>
            </w:r>
          </w:p>
        </w:tc>
        <w:tc>
          <w:tcPr>
            <w:tcW w:w="1645" w:type="dxa"/>
            <w:vAlign w:val="center"/>
          </w:tcPr>
          <w:p w14:paraId="6C87916B">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查阅培训教材、资料、记录和试卷</w:t>
            </w:r>
          </w:p>
        </w:tc>
        <w:tc>
          <w:tcPr>
            <w:tcW w:w="1385" w:type="dxa"/>
            <w:vAlign w:val="center"/>
          </w:tcPr>
          <w:p w14:paraId="025E8709">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按照规定每年对在岗期间的劳动者进行职业卫生培训，且培训内容、培训时间和培训周期符合要求</w:t>
            </w:r>
          </w:p>
        </w:tc>
        <w:tc>
          <w:tcPr>
            <w:tcW w:w="1401" w:type="dxa"/>
            <w:vAlign w:val="center"/>
          </w:tcPr>
          <w:p w14:paraId="31D67991">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仅对在岗期间的部分劳动者进行职业卫生培训，或培训内容、培训时间和培训周期不规范</w:t>
            </w:r>
          </w:p>
        </w:tc>
        <w:tc>
          <w:tcPr>
            <w:tcW w:w="1294" w:type="dxa"/>
            <w:vAlign w:val="center"/>
          </w:tcPr>
          <w:p w14:paraId="7CDF2E4B">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未按照规定每年对在岗期间的劳动者进行职业卫生培训</w:t>
            </w:r>
          </w:p>
        </w:tc>
        <w:tc>
          <w:tcPr>
            <w:tcW w:w="1136" w:type="dxa"/>
            <w:vAlign w:val="center"/>
          </w:tcPr>
          <w:p w14:paraId="37D2A4AB">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25" w:type="dxa"/>
            <w:vAlign w:val="center"/>
          </w:tcPr>
          <w:p w14:paraId="699696A3">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10</w:t>
            </w:r>
          </w:p>
        </w:tc>
        <w:tc>
          <w:tcPr>
            <w:tcW w:w="996" w:type="dxa"/>
            <w:vAlign w:val="center"/>
          </w:tcPr>
          <w:p w14:paraId="65A1ACC9">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4A509CFF">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□基本符合</w:t>
            </w:r>
          </w:p>
          <w:p w14:paraId="146DB0C7">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81" w:type="dxa"/>
            <w:vAlign w:val="center"/>
          </w:tcPr>
          <w:p w14:paraId="17B7767E">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7C5F9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67" w:type="dxa"/>
            <w:vMerge w:val="continue"/>
            <w:vAlign w:val="center"/>
          </w:tcPr>
          <w:p w14:paraId="59256346">
            <w:pPr>
              <w:tabs>
                <w:tab w:val="left" w:pos="253"/>
              </w:tabs>
              <w:adjustRightInd w:val="0"/>
              <w:snapToGrid w:val="0"/>
              <w:rPr>
                <w:rFonts w:hint="eastAsia" w:ascii="方正仿宋_GBK" w:hAnsi="方正仿宋_GBK" w:eastAsia="方正仿宋_GBK" w:cs="方正仿宋_GBK"/>
                <w:color w:val="auto"/>
                <w:sz w:val="18"/>
                <w:szCs w:val="18"/>
              </w:rPr>
            </w:pPr>
          </w:p>
        </w:tc>
        <w:tc>
          <w:tcPr>
            <w:tcW w:w="778" w:type="dxa"/>
            <w:vAlign w:val="center"/>
          </w:tcPr>
          <w:p w14:paraId="2E1B82E4">
            <w:pPr>
              <w:tabs>
                <w:tab w:val="left" w:pos="320"/>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32.严重岗位职业卫生培训</w:t>
            </w:r>
          </w:p>
        </w:tc>
        <w:tc>
          <w:tcPr>
            <w:tcW w:w="3884" w:type="dxa"/>
            <w:vAlign w:val="center"/>
          </w:tcPr>
          <w:p w14:paraId="1F40FB5C">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对存在矽尘、石棉粉尘、高毒物品以及放射性危害等职业病危害严重岗位的劳动者，进行专门的职业卫生培训，经培训合格后方可上岗作业。</w:t>
            </w:r>
          </w:p>
        </w:tc>
        <w:tc>
          <w:tcPr>
            <w:tcW w:w="1645" w:type="dxa"/>
            <w:vAlign w:val="center"/>
          </w:tcPr>
          <w:p w14:paraId="1FD46DE9">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查阅培训教材、资料、记录和试卷</w:t>
            </w:r>
          </w:p>
        </w:tc>
        <w:tc>
          <w:tcPr>
            <w:tcW w:w="1385" w:type="dxa"/>
            <w:vAlign w:val="center"/>
          </w:tcPr>
          <w:p w14:paraId="3EE8CAAC">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按规定对存在严重职业病危害岗位</w:t>
            </w:r>
            <w:r>
              <w:rPr>
                <w:rFonts w:hint="eastAsia" w:ascii="方正仿宋_GBK" w:hAnsi="方正仿宋_GBK" w:eastAsia="方正仿宋_GBK" w:cs="方正仿宋_GBK"/>
                <w:color w:val="auto"/>
                <w:kern w:val="0"/>
                <w:sz w:val="18"/>
                <w:szCs w:val="18"/>
              </w:rPr>
              <w:t>的劳动者</w:t>
            </w:r>
            <w:r>
              <w:rPr>
                <w:rFonts w:hint="eastAsia" w:ascii="方正仿宋_GBK" w:hAnsi="方正仿宋_GBK" w:eastAsia="方正仿宋_GBK" w:cs="方正仿宋_GBK"/>
                <w:color w:val="auto"/>
                <w:sz w:val="18"/>
                <w:szCs w:val="18"/>
              </w:rPr>
              <w:t>进行专门的职业卫生培训</w:t>
            </w:r>
          </w:p>
        </w:tc>
        <w:tc>
          <w:tcPr>
            <w:tcW w:w="1401" w:type="dxa"/>
            <w:vAlign w:val="center"/>
          </w:tcPr>
          <w:p w14:paraId="12F79056">
            <w:pPr>
              <w:adjustRightInd w:val="0"/>
              <w:snapToGrid w:val="0"/>
              <w:rPr>
                <w:rFonts w:hint="eastAsia" w:ascii="方正仿宋_GBK" w:hAnsi="方正仿宋_GBK" w:eastAsia="方正仿宋_GBK" w:cs="方正仿宋_GBK"/>
                <w:color w:val="auto"/>
                <w:sz w:val="18"/>
                <w:szCs w:val="18"/>
                <w:lang w:val="en"/>
              </w:rPr>
            </w:pPr>
            <w:r>
              <w:rPr>
                <w:rFonts w:hint="eastAsia" w:ascii="方正仿宋_GBK" w:hAnsi="方正仿宋_GBK" w:eastAsia="方正仿宋_GBK" w:cs="方正仿宋_GBK"/>
                <w:color w:val="auto"/>
                <w:sz w:val="18"/>
                <w:szCs w:val="18"/>
              </w:rPr>
              <w:t>仅对部分存在严重职业病危害岗位的劳动者进行专门的职业卫生培训</w:t>
            </w:r>
          </w:p>
        </w:tc>
        <w:tc>
          <w:tcPr>
            <w:tcW w:w="1294" w:type="dxa"/>
            <w:vAlign w:val="center"/>
          </w:tcPr>
          <w:p w14:paraId="7ED4DD9F">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未按规定对存在严重职业病危害岗位</w:t>
            </w:r>
            <w:r>
              <w:rPr>
                <w:rFonts w:hint="eastAsia" w:ascii="方正仿宋_GBK" w:hAnsi="方正仿宋_GBK" w:eastAsia="方正仿宋_GBK" w:cs="方正仿宋_GBK"/>
                <w:color w:val="auto"/>
                <w:kern w:val="0"/>
                <w:sz w:val="18"/>
                <w:szCs w:val="18"/>
              </w:rPr>
              <w:t>的劳动者</w:t>
            </w:r>
            <w:r>
              <w:rPr>
                <w:rFonts w:hint="eastAsia" w:ascii="方正仿宋_GBK" w:hAnsi="方正仿宋_GBK" w:eastAsia="方正仿宋_GBK" w:cs="方正仿宋_GBK"/>
                <w:color w:val="auto"/>
                <w:sz w:val="18"/>
                <w:szCs w:val="18"/>
              </w:rPr>
              <w:t>进行专门的职业卫生培训</w:t>
            </w:r>
          </w:p>
        </w:tc>
        <w:tc>
          <w:tcPr>
            <w:tcW w:w="1136" w:type="dxa"/>
            <w:vAlign w:val="center"/>
          </w:tcPr>
          <w:p w14:paraId="7177059E">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不存在矽尘、石棉粉尘、高毒物品以及放射性危害等职业病危害严重岗位</w:t>
            </w:r>
          </w:p>
        </w:tc>
        <w:tc>
          <w:tcPr>
            <w:tcW w:w="425" w:type="dxa"/>
            <w:vAlign w:val="center"/>
          </w:tcPr>
          <w:p w14:paraId="599EE8E8">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10</w:t>
            </w:r>
          </w:p>
        </w:tc>
        <w:tc>
          <w:tcPr>
            <w:tcW w:w="996" w:type="dxa"/>
            <w:vAlign w:val="center"/>
          </w:tcPr>
          <w:p w14:paraId="2202F5AB">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527E2068">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□基本符合</w:t>
            </w:r>
          </w:p>
          <w:p w14:paraId="109B1E9E">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p w14:paraId="3509CFC9">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□合理缺项</w:t>
            </w:r>
          </w:p>
        </w:tc>
        <w:tc>
          <w:tcPr>
            <w:tcW w:w="381" w:type="dxa"/>
            <w:vAlign w:val="center"/>
          </w:tcPr>
          <w:p w14:paraId="79324CEF">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5300B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67" w:type="dxa"/>
            <w:vMerge w:val="restart"/>
            <w:vAlign w:val="center"/>
          </w:tcPr>
          <w:p w14:paraId="77BB00F1">
            <w:pPr>
              <w:tabs>
                <w:tab w:val="left" w:pos="253"/>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lang w:val="en-US" w:eastAsia="zh-CN"/>
              </w:rPr>
              <w:t>九</w:t>
            </w:r>
            <w:r>
              <w:rPr>
                <w:rFonts w:hint="eastAsia" w:ascii="方正仿宋_GBK" w:hAnsi="方正仿宋_GBK" w:eastAsia="方正仿宋_GBK" w:cs="方正仿宋_GBK"/>
                <w:color w:val="auto"/>
                <w:sz w:val="18"/>
                <w:szCs w:val="18"/>
              </w:rPr>
              <w:t>、职业健康监护</w:t>
            </w:r>
          </w:p>
        </w:tc>
        <w:tc>
          <w:tcPr>
            <w:tcW w:w="778" w:type="dxa"/>
            <w:vAlign w:val="center"/>
          </w:tcPr>
          <w:p w14:paraId="069218EC">
            <w:pPr>
              <w:tabs>
                <w:tab w:val="left" w:pos="320"/>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33.上岗前职业健康检查</w:t>
            </w:r>
          </w:p>
        </w:tc>
        <w:tc>
          <w:tcPr>
            <w:tcW w:w="3884" w:type="dxa"/>
            <w:vAlign w:val="center"/>
          </w:tcPr>
          <w:p w14:paraId="2F84DDA8">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按照规定组织劳动者进行上岗前的职业健康检查。</w:t>
            </w:r>
          </w:p>
        </w:tc>
        <w:tc>
          <w:tcPr>
            <w:tcW w:w="1645" w:type="dxa"/>
            <w:vAlign w:val="center"/>
          </w:tcPr>
          <w:p w14:paraId="23104762">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查阅劳动合同和上岗前职业健康检查报告</w:t>
            </w:r>
          </w:p>
        </w:tc>
        <w:tc>
          <w:tcPr>
            <w:tcW w:w="1385" w:type="dxa"/>
            <w:vAlign w:val="center"/>
          </w:tcPr>
          <w:p w14:paraId="78FE8CBE">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按要求组织劳动者进行上岗前职业健康检查，且体检项目齐全</w:t>
            </w:r>
          </w:p>
        </w:tc>
        <w:tc>
          <w:tcPr>
            <w:tcW w:w="1401" w:type="dxa"/>
            <w:vAlign w:val="center"/>
          </w:tcPr>
          <w:p w14:paraId="5DAD5527">
            <w:pPr>
              <w:adjustRightInd w:val="0"/>
              <w:snapToGrid w:val="0"/>
              <w:jc w:val="center"/>
              <w:rPr>
                <w:rFonts w:hint="eastAsia" w:ascii="方正仿宋_GBK" w:hAnsi="方正仿宋_GBK" w:eastAsia="方正仿宋_GBK" w:cs="方正仿宋_GBK"/>
                <w:color w:val="auto"/>
                <w:sz w:val="18"/>
                <w:szCs w:val="18"/>
                <w:lang w:val="en"/>
              </w:rPr>
            </w:pPr>
            <w:r>
              <w:rPr>
                <w:rFonts w:hint="eastAsia" w:ascii="方正仿宋_GBK" w:hAnsi="方正仿宋_GBK" w:eastAsia="方正仿宋_GBK" w:cs="方正仿宋_GBK"/>
                <w:color w:val="auto"/>
                <w:sz w:val="18"/>
                <w:szCs w:val="18"/>
                <w:lang w:val="en"/>
              </w:rPr>
              <w:t>-</w:t>
            </w:r>
          </w:p>
        </w:tc>
        <w:tc>
          <w:tcPr>
            <w:tcW w:w="1294" w:type="dxa"/>
            <w:vAlign w:val="center"/>
          </w:tcPr>
          <w:p w14:paraId="1C8644E6">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未按要求组织劳动者进行上岗前职业健康检查；或体检因素与接触的职业病危害因素不匹配</w:t>
            </w:r>
          </w:p>
        </w:tc>
        <w:tc>
          <w:tcPr>
            <w:tcW w:w="1136" w:type="dxa"/>
            <w:vAlign w:val="center"/>
          </w:tcPr>
          <w:p w14:paraId="2C7FF26C">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不涉及岗前劳动者或接触的职业病危害因素无体检要求</w:t>
            </w:r>
          </w:p>
        </w:tc>
        <w:tc>
          <w:tcPr>
            <w:tcW w:w="425" w:type="dxa"/>
            <w:vAlign w:val="center"/>
          </w:tcPr>
          <w:p w14:paraId="42E28B9F">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w:t>
            </w:r>
          </w:p>
        </w:tc>
        <w:tc>
          <w:tcPr>
            <w:tcW w:w="996" w:type="dxa"/>
            <w:vAlign w:val="center"/>
          </w:tcPr>
          <w:p w14:paraId="1FC8F764">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172C0548">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p w14:paraId="0FE720D8">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□合理缺项</w:t>
            </w:r>
          </w:p>
        </w:tc>
        <w:tc>
          <w:tcPr>
            <w:tcW w:w="381" w:type="dxa"/>
            <w:vAlign w:val="center"/>
          </w:tcPr>
          <w:p w14:paraId="7300D4C1">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63314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67" w:type="dxa"/>
            <w:vMerge w:val="continue"/>
            <w:vAlign w:val="center"/>
          </w:tcPr>
          <w:p w14:paraId="1EC71DC1">
            <w:pPr>
              <w:tabs>
                <w:tab w:val="left" w:pos="253"/>
              </w:tabs>
              <w:adjustRightInd w:val="0"/>
              <w:snapToGrid w:val="0"/>
              <w:rPr>
                <w:rFonts w:hint="eastAsia" w:ascii="方正仿宋_GBK" w:hAnsi="方正仿宋_GBK" w:eastAsia="方正仿宋_GBK" w:cs="方正仿宋_GBK"/>
                <w:color w:val="auto"/>
                <w:sz w:val="18"/>
                <w:szCs w:val="18"/>
              </w:rPr>
            </w:pPr>
          </w:p>
        </w:tc>
        <w:tc>
          <w:tcPr>
            <w:tcW w:w="778" w:type="dxa"/>
            <w:vAlign w:val="center"/>
          </w:tcPr>
          <w:p w14:paraId="600F3C6A">
            <w:pPr>
              <w:tabs>
                <w:tab w:val="left" w:pos="320"/>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34.在岗期间职业健康检查</w:t>
            </w:r>
          </w:p>
        </w:tc>
        <w:tc>
          <w:tcPr>
            <w:tcW w:w="3884" w:type="dxa"/>
            <w:vAlign w:val="center"/>
          </w:tcPr>
          <w:p w14:paraId="6832EE6B">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按照规定组织劳动者进行在岗期间的职业健康检查。</w:t>
            </w:r>
          </w:p>
        </w:tc>
        <w:tc>
          <w:tcPr>
            <w:tcW w:w="1645" w:type="dxa"/>
            <w:vAlign w:val="center"/>
          </w:tcPr>
          <w:p w14:paraId="35D0201F">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查阅在岗劳动者职业健康检查报告，重点检查粉尘、高毒物品或放射性因素等体检项目与体检周期是否满足《职业健康监护技术规范》(GBZ188)、《放射工作人员健康要求及监护规范》(GBZ98)等标准的要求</w:t>
            </w:r>
          </w:p>
        </w:tc>
        <w:tc>
          <w:tcPr>
            <w:tcW w:w="1385" w:type="dxa"/>
            <w:vAlign w:val="center"/>
          </w:tcPr>
          <w:p w14:paraId="153D0EEF">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按要求为在岗员工进行在岗期间职业健康检查，且重点因素的体检项目与体检周期均符合要求</w:t>
            </w:r>
          </w:p>
        </w:tc>
        <w:tc>
          <w:tcPr>
            <w:tcW w:w="1401" w:type="dxa"/>
            <w:vAlign w:val="center"/>
          </w:tcPr>
          <w:p w14:paraId="72BB4F6B">
            <w:pPr>
              <w:adjustRightInd w:val="0"/>
              <w:snapToGrid w:val="0"/>
              <w:jc w:val="center"/>
              <w:rPr>
                <w:rFonts w:hint="eastAsia" w:ascii="方正仿宋_GBK" w:hAnsi="方正仿宋_GBK" w:eastAsia="方正仿宋_GBK" w:cs="方正仿宋_GBK"/>
                <w:color w:val="auto"/>
                <w:sz w:val="18"/>
                <w:szCs w:val="18"/>
                <w:lang w:val="en"/>
              </w:rPr>
            </w:pPr>
            <w:r>
              <w:rPr>
                <w:rFonts w:hint="eastAsia" w:ascii="方正仿宋_GBK" w:hAnsi="方正仿宋_GBK" w:eastAsia="方正仿宋_GBK" w:cs="方正仿宋_GBK"/>
                <w:color w:val="auto"/>
                <w:sz w:val="18"/>
                <w:szCs w:val="18"/>
                <w:lang w:val="en"/>
              </w:rPr>
              <w:t>-</w:t>
            </w:r>
          </w:p>
        </w:tc>
        <w:tc>
          <w:tcPr>
            <w:tcW w:w="1294" w:type="dxa"/>
            <w:vAlign w:val="center"/>
          </w:tcPr>
          <w:p w14:paraId="1AB7FF64">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未按要求为在岗员工进行在岗期间职业健康检查；或重点因素的体检项目与体检周期不符合要求</w:t>
            </w:r>
          </w:p>
        </w:tc>
        <w:tc>
          <w:tcPr>
            <w:tcW w:w="1136" w:type="dxa"/>
            <w:vAlign w:val="center"/>
          </w:tcPr>
          <w:p w14:paraId="5639F9C9">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sz w:val="18"/>
                <w:szCs w:val="18"/>
                <w:lang w:val="en"/>
              </w:rPr>
              <w:t>-</w:t>
            </w:r>
          </w:p>
        </w:tc>
        <w:tc>
          <w:tcPr>
            <w:tcW w:w="425" w:type="dxa"/>
            <w:vAlign w:val="center"/>
          </w:tcPr>
          <w:p w14:paraId="3E0E7158">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w:t>
            </w:r>
          </w:p>
        </w:tc>
        <w:tc>
          <w:tcPr>
            <w:tcW w:w="996" w:type="dxa"/>
            <w:vAlign w:val="center"/>
          </w:tcPr>
          <w:p w14:paraId="7350EF22">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548344CF">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81" w:type="dxa"/>
            <w:vAlign w:val="center"/>
          </w:tcPr>
          <w:p w14:paraId="7C61E817">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29B9E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67" w:type="dxa"/>
            <w:vMerge w:val="continue"/>
            <w:vAlign w:val="center"/>
          </w:tcPr>
          <w:p w14:paraId="538BC380">
            <w:pPr>
              <w:tabs>
                <w:tab w:val="left" w:pos="253"/>
              </w:tabs>
              <w:adjustRightInd w:val="0"/>
              <w:snapToGrid w:val="0"/>
              <w:rPr>
                <w:rFonts w:hint="eastAsia" w:ascii="方正仿宋_GBK" w:hAnsi="方正仿宋_GBK" w:eastAsia="方正仿宋_GBK" w:cs="方正仿宋_GBK"/>
                <w:color w:val="auto"/>
                <w:sz w:val="18"/>
                <w:szCs w:val="18"/>
              </w:rPr>
            </w:pPr>
          </w:p>
        </w:tc>
        <w:tc>
          <w:tcPr>
            <w:tcW w:w="778" w:type="dxa"/>
            <w:vAlign w:val="center"/>
          </w:tcPr>
          <w:p w14:paraId="3669F26A">
            <w:pPr>
              <w:tabs>
                <w:tab w:val="left" w:pos="320"/>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35.离岗时职业健康检查</w:t>
            </w:r>
          </w:p>
        </w:tc>
        <w:tc>
          <w:tcPr>
            <w:tcW w:w="3884" w:type="dxa"/>
            <w:vAlign w:val="center"/>
          </w:tcPr>
          <w:p w14:paraId="45F66CD2">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按照规定组织劳动者进行离岗时的职业健康检查。</w:t>
            </w:r>
          </w:p>
        </w:tc>
        <w:tc>
          <w:tcPr>
            <w:tcW w:w="1645" w:type="dxa"/>
            <w:vAlign w:val="center"/>
          </w:tcPr>
          <w:p w14:paraId="134A6DB1">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查阅离岗劳动者的职业健康检查报告</w:t>
            </w:r>
          </w:p>
        </w:tc>
        <w:tc>
          <w:tcPr>
            <w:tcW w:w="1385" w:type="dxa"/>
            <w:vAlign w:val="center"/>
          </w:tcPr>
          <w:p w14:paraId="4055E9B6">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按要求为所有离岗劳动者进行职业健康检查</w:t>
            </w:r>
          </w:p>
        </w:tc>
        <w:tc>
          <w:tcPr>
            <w:tcW w:w="1401" w:type="dxa"/>
            <w:shd w:val="clear" w:color="auto" w:fill="auto"/>
            <w:vAlign w:val="center"/>
          </w:tcPr>
          <w:p w14:paraId="397111F4">
            <w:pPr>
              <w:adjustRightInd w:val="0"/>
              <w:snapToGrid w:val="0"/>
              <w:rPr>
                <w:rFonts w:hint="eastAsia" w:ascii="方正仿宋_GBK" w:hAnsi="方正仿宋_GBK" w:eastAsia="方正仿宋_GBK" w:cs="方正仿宋_GBK"/>
                <w:color w:val="auto"/>
                <w:sz w:val="18"/>
                <w:szCs w:val="18"/>
                <w:lang w:val="en"/>
              </w:rPr>
            </w:pPr>
            <w:r>
              <w:rPr>
                <w:rFonts w:hint="eastAsia" w:ascii="方正仿宋_GBK" w:hAnsi="方正仿宋_GBK" w:eastAsia="方正仿宋_GBK" w:cs="方正仿宋_GBK"/>
                <w:color w:val="auto"/>
                <w:sz w:val="18"/>
                <w:szCs w:val="18"/>
              </w:rPr>
              <w:t>未完成全部离岗劳动者职业健康检查，但对于不配合的离岗劳动者通过邮寄、微信、电子邮箱、登报等方式进行了告知，并留存相关证明材料。</w:t>
            </w:r>
          </w:p>
        </w:tc>
        <w:tc>
          <w:tcPr>
            <w:tcW w:w="1294" w:type="dxa"/>
            <w:vAlign w:val="center"/>
          </w:tcPr>
          <w:p w14:paraId="5EB4BB97">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未按要求为离岗劳动者进行职业健康检查</w:t>
            </w:r>
          </w:p>
        </w:tc>
        <w:tc>
          <w:tcPr>
            <w:tcW w:w="1136" w:type="dxa"/>
            <w:vAlign w:val="center"/>
          </w:tcPr>
          <w:p w14:paraId="73872366">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不涉及离岗人员或接触的职业病危害因素无离岗体检要求</w:t>
            </w:r>
          </w:p>
        </w:tc>
        <w:tc>
          <w:tcPr>
            <w:tcW w:w="425" w:type="dxa"/>
            <w:vAlign w:val="center"/>
          </w:tcPr>
          <w:p w14:paraId="5E5BEADE">
            <w:pPr>
              <w:widowControl/>
              <w:adjustRightInd w:val="0"/>
              <w:snapToGrid w:val="0"/>
              <w:jc w:val="center"/>
              <w:rPr>
                <w:rFonts w:hint="eastAsia" w:ascii="方正仿宋_GBK" w:hAnsi="方正仿宋_GBK" w:eastAsia="方正仿宋_GBK" w:cs="方正仿宋_GBK"/>
                <w:strike/>
                <w:color w:val="auto"/>
                <w:kern w:val="0"/>
                <w:sz w:val="18"/>
                <w:szCs w:val="18"/>
              </w:rPr>
            </w:pPr>
            <w:r>
              <w:rPr>
                <w:rFonts w:hint="eastAsia" w:ascii="方正仿宋_GBK" w:hAnsi="方正仿宋_GBK" w:eastAsia="方正仿宋_GBK" w:cs="方正仿宋_GBK"/>
                <w:color w:val="auto"/>
                <w:kern w:val="0"/>
                <w:sz w:val="18"/>
                <w:szCs w:val="18"/>
              </w:rPr>
              <w:t>10</w:t>
            </w:r>
          </w:p>
        </w:tc>
        <w:tc>
          <w:tcPr>
            <w:tcW w:w="996" w:type="dxa"/>
            <w:vAlign w:val="center"/>
          </w:tcPr>
          <w:p w14:paraId="0048F5BD">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14160E26">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□基本符合</w:t>
            </w:r>
          </w:p>
          <w:p w14:paraId="621DEF7A">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p w14:paraId="44A9B388">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□合理缺项</w:t>
            </w:r>
          </w:p>
        </w:tc>
        <w:tc>
          <w:tcPr>
            <w:tcW w:w="381" w:type="dxa"/>
            <w:vAlign w:val="center"/>
          </w:tcPr>
          <w:p w14:paraId="0BB2B134">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567A5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67" w:type="dxa"/>
            <w:vMerge w:val="continue"/>
            <w:vAlign w:val="center"/>
          </w:tcPr>
          <w:p w14:paraId="574267CB">
            <w:pPr>
              <w:tabs>
                <w:tab w:val="left" w:pos="253"/>
              </w:tabs>
              <w:adjustRightInd w:val="0"/>
              <w:snapToGrid w:val="0"/>
              <w:rPr>
                <w:rFonts w:hint="eastAsia" w:ascii="方正仿宋_GBK" w:hAnsi="方正仿宋_GBK" w:eastAsia="方正仿宋_GBK" w:cs="方正仿宋_GBK"/>
                <w:color w:val="auto"/>
                <w:sz w:val="18"/>
                <w:szCs w:val="18"/>
              </w:rPr>
            </w:pPr>
          </w:p>
        </w:tc>
        <w:tc>
          <w:tcPr>
            <w:tcW w:w="778" w:type="dxa"/>
            <w:vAlign w:val="center"/>
          </w:tcPr>
          <w:p w14:paraId="540AB925">
            <w:pPr>
              <w:tabs>
                <w:tab w:val="left" w:pos="320"/>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36.检查结果告知</w:t>
            </w:r>
          </w:p>
        </w:tc>
        <w:tc>
          <w:tcPr>
            <w:tcW w:w="3884" w:type="dxa"/>
            <w:vAlign w:val="center"/>
          </w:tcPr>
          <w:p w14:paraId="681C73F7">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及时将职业健康检查结果及职业健康检查机构的建议以书面形式如实告知劳动者。</w:t>
            </w:r>
          </w:p>
        </w:tc>
        <w:tc>
          <w:tcPr>
            <w:tcW w:w="1645" w:type="dxa"/>
            <w:vAlign w:val="center"/>
          </w:tcPr>
          <w:p w14:paraId="13C05D00">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查阅劳动者职业健康检查结果书面告知情况</w:t>
            </w:r>
          </w:p>
        </w:tc>
        <w:tc>
          <w:tcPr>
            <w:tcW w:w="1385" w:type="dxa"/>
            <w:vAlign w:val="center"/>
          </w:tcPr>
          <w:p w14:paraId="4828DAF1">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按要求将职业健康检查结果书面告知劳动者</w:t>
            </w:r>
          </w:p>
        </w:tc>
        <w:tc>
          <w:tcPr>
            <w:tcW w:w="1401" w:type="dxa"/>
            <w:vAlign w:val="center"/>
          </w:tcPr>
          <w:p w14:paraId="7D08DBFA">
            <w:pPr>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sz w:val="18"/>
                <w:szCs w:val="18"/>
                <w:lang w:val="en"/>
              </w:rPr>
              <w:t>-</w:t>
            </w:r>
          </w:p>
        </w:tc>
        <w:tc>
          <w:tcPr>
            <w:tcW w:w="1294" w:type="dxa"/>
            <w:vAlign w:val="center"/>
          </w:tcPr>
          <w:p w14:paraId="69A8F088">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未按要求将职业健康检查结果书面告知劳动者</w:t>
            </w:r>
          </w:p>
        </w:tc>
        <w:tc>
          <w:tcPr>
            <w:tcW w:w="1136" w:type="dxa"/>
            <w:vAlign w:val="center"/>
          </w:tcPr>
          <w:p w14:paraId="3AE5EB33">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25" w:type="dxa"/>
            <w:vAlign w:val="center"/>
          </w:tcPr>
          <w:p w14:paraId="3E2F8B00">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10</w:t>
            </w:r>
          </w:p>
        </w:tc>
        <w:tc>
          <w:tcPr>
            <w:tcW w:w="996" w:type="dxa"/>
            <w:vAlign w:val="center"/>
          </w:tcPr>
          <w:p w14:paraId="64976F94">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44CFBD5F">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81" w:type="dxa"/>
            <w:vAlign w:val="center"/>
          </w:tcPr>
          <w:p w14:paraId="2064708E">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4AD0E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67" w:type="dxa"/>
            <w:vMerge w:val="continue"/>
            <w:vAlign w:val="center"/>
          </w:tcPr>
          <w:p w14:paraId="1B42BF41">
            <w:pPr>
              <w:tabs>
                <w:tab w:val="left" w:pos="253"/>
              </w:tabs>
              <w:adjustRightInd w:val="0"/>
              <w:snapToGrid w:val="0"/>
              <w:rPr>
                <w:rFonts w:hint="eastAsia" w:ascii="方正仿宋_GBK" w:hAnsi="方正仿宋_GBK" w:eastAsia="方正仿宋_GBK" w:cs="方正仿宋_GBK"/>
                <w:color w:val="auto"/>
                <w:sz w:val="18"/>
                <w:szCs w:val="18"/>
              </w:rPr>
            </w:pPr>
          </w:p>
        </w:tc>
        <w:tc>
          <w:tcPr>
            <w:tcW w:w="778" w:type="dxa"/>
            <w:vAlign w:val="center"/>
          </w:tcPr>
          <w:p w14:paraId="1C3B31C5">
            <w:pPr>
              <w:tabs>
                <w:tab w:val="left" w:pos="320"/>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37.特殊人群保护</w:t>
            </w:r>
          </w:p>
        </w:tc>
        <w:tc>
          <w:tcPr>
            <w:tcW w:w="3884" w:type="dxa"/>
            <w:vAlign w:val="center"/>
          </w:tcPr>
          <w:p w14:paraId="1D5229CC">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不得安排未成年工从事接触职业病危害的作业。不得安排孕期、哺乳期女职工从事对本人和胎儿、婴儿有危害的作业。</w:t>
            </w:r>
          </w:p>
        </w:tc>
        <w:tc>
          <w:tcPr>
            <w:tcW w:w="1645" w:type="dxa"/>
            <w:vAlign w:val="center"/>
          </w:tcPr>
          <w:p w14:paraId="30E25A8C">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查阅劳动者名册、劳动合同</w:t>
            </w:r>
          </w:p>
        </w:tc>
        <w:tc>
          <w:tcPr>
            <w:tcW w:w="1385" w:type="dxa"/>
            <w:vAlign w:val="center"/>
          </w:tcPr>
          <w:p w14:paraId="54A23AEC">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未安排未成年工从事接触职业病危害的作业，且未安排孕期、哺乳期女职工从事对本人和胎儿、婴儿有危害的作业</w:t>
            </w:r>
          </w:p>
        </w:tc>
        <w:tc>
          <w:tcPr>
            <w:tcW w:w="1401" w:type="dxa"/>
            <w:vAlign w:val="center"/>
          </w:tcPr>
          <w:p w14:paraId="69142AE9">
            <w:pPr>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sz w:val="18"/>
                <w:szCs w:val="18"/>
                <w:lang w:val="en"/>
              </w:rPr>
              <w:t>-</w:t>
            </w:r>
          </w:p>
        </w:tc>
        <w:tc>
          <w:tcPr>
            <w:tcW w:w="1294" w:type="dxa"/>
            <w:vAlign w:val="center"/>
          </w:tcPr>
          <w:p w14:paraId="26483FE5">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kern w:val="0"/>
                <w:sz w:val="18"/>
                <w:szCs w:val="18"/>
              </w:rPr>
              <w:t>安排未成年工从事接触职业病危害的作业；或者安排孕期、哺乳期女职工从事对本人和胎儿、婴儿有危害的作业</w:t>
            </w:r>
          </w:p>
        </w:tc>
        <w:tc>
          <w:tcPr>
            <w:tcW w:w="1136" w:type="dxa"/>
            <w:vAlign w:val="center"/>
          </w:tcPr>
          <w:p w14:paraId="799DE756">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25" w:type="dxa"/>
            <w:vAlign w:val="center"/>
          </w:tcPr>
          <w:p w14:paraId="026B5930">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w:t>
            </w:r>
          </w:p>
        </w:tc>
        <w:tc>
          <w:tcPr>
            <w:tcW w:w="996" w:type="dxa"/>
            <w:vAlign w:val="center"/>
          </w:tcPr>
          <w:p w14:paraId="23D6FDB4">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13E03295">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81" w:type="dxa"/>
            <w:vAlign w:val="center"/>
          </w:tcPr>
          <w:p w14:paraId="49F8ED51">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28583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67" w:type="dxa"/>
            <w:vMerge w:val="continue"/>
            <w:vAlign w:val="center"/>
          </w:tcPr>
          <w:p w14:paraId="770E950F">
            <w:pPr>
              <w:tabs>
                <w:tab w:val="left" w:pos="253"/>
              </w:tabs>
              <w:adjustRightInd w:val="0"/>
              <w:snapToGrid w:val="0"/>
              <w:rPr>
                <w:rFonts w:hint="eastAsia" w:ascii="方正仿宋_GBK" w:hAnsi="方正仿宋_GBK" w:eastAsia="方正仿宋_GBK" w:cs="方正仿宋_GBK"/>
                <w:color w:val="auto"/>
                <w:sz w:val="18"/>
                <w:szCs w:val="18"/>
              </w:rPr>
            </w:pPr>
          </w:p>
        </w:tc>
        <w:tc>
          <w:tcPr>
            <w:tcW w:w="778" w:type="dxa"/>
            <w:vAlign w:val="center"/>
          </w:tcPr>
          <w:p w14:paraId="39F0D094">
            <w:pPr>
              <w:tabs>
                <w:tab w:val="left" w:pos="320"/>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38.复查对象处置</w:t>
            </w:r>
          </w:p>
        </w:tc>
        <w:tc>
          <w:tcPr>
            <w:tcW w:w="3884" w:type="dxa"/>
            <w:vAlign w:val="center"/>
          </w:tcPr>
          <w:p w14:paraId="3D35BA59">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对需要复查的劳动者，按照职业健康检查机构要求的时间安排复查和医学观察。</w:t>
            </w:r>
          </w:p>
        </w:tc>
        <w:tc>
          <w:tcPr>
            <w:tcW w:w="1645" w:type="dxa"/>
            <w:vAlign w:val="center"/>
          </w:tcPr>
          <w:p w14:paraId="4DF45C0F">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查阅体检报告，核对需复查劳动者复查情况</w:t>
            </w:r>
          </w:p>
        </w:tc>
        <w:tc>
          <w:tcPr>
            <w:tcW w:w="1385" w:type="dxa"/>
            <w:vAlign w:val="center"/>
          </w:tcPr>
          <w:p w14:paraId="0DEEE576">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按要求安排需要复查和医学观察的劳动者进行复查和医学观察</w:t>
            </w:r>
          </w:p>
        </w:tc>
        <w:tc>
          <w:tcPr>
            <w:tcW w:w="1401" w:type="dxa"/>
            <w:vAlign w:val="center"/>
          </w:tcPr>
          <w:p w14:paraId="0E3AED16">
            <w:pPr>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sz w:val="18"/>
                <w:szCs w:val="18"/>
                <w:lang w:val="en"/>
              </w:rPr>
              <w:t>-</w:t>
            </w:r>
          </w:p>
        </w:tc>
        <w:tc>
          <w:tcPr>
            <w:tcW w:w="1294" w:type="dxa"/>
            <w:vAlign w:val="center"/>
          </w:tcPr>
          <w:p w14:paraId="73B4B9B0">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未按要求安排需要复查和医学观察的劳动者进行复查和医学观察</w:t>
            </w:r>
          </w:p>
        </w:tc>
        <w:tc>
          <w:tcPr>
            <w:tcW w:w="1136" w:type="dxa"/>
            <w:vAlign w:val="center"/>
          </w:tcPr>
          <w:p w14:paraId="5D81DF03">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不涉及复查对象</w:t>
            </w:r>
          </w:p>
        </w:tc>
        <w:tc>
          <w:tcPr>
            <w:tcW w:w="425" w:type="dxa"/>
            <w:vAlign w:val="center"/>
          </w:tcPr>
          <w:p w14:paraId="5950A4CA">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10</w:t>
            </w:r>
          </w:p>
        </w:tc>
        <w:tc>
          <w:tcPr>
            <w:tcW w:w="996" w:type="dxa"/>
            <w:vAlign w:val="center"/>
          </w:tcPr>
          <w:p w14:paraId="07DBD316">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2A8CE519">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p w14:paraId="6E5B222B">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□合理缺项</w:t>
            </w:r>
          </w:p>
        </w:tc>
        <w:tc>
          <w:tcPr>
            <w:tcW w:w="381" w:type="dxa"/>
            <w:vAlign w:val="center"/>
          </w:tcPr>
          <w:p w14:paraId="03CD074A">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4B2A6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67" w:type="dxa"/>
            <w:vMerge w:val="continue"/>
            <w:vAlign w:val="center"/>
          </w:tcPr>
          <w:p w14:paraId="555E2B0B">
            <w:pPr>
              <w:tabs>
                <w:tab w:val="left" w:pos="253"/>
              </w:tabs>
              <w:adjustRightInd w:val="0"/>
              <w:snapToGrid w:val="0"/>
              <w:rPr>
                <w:rFonts w:hint="eastAsia" w:ascii="方正仿宋_GBK" w:hAnsi="方正仿宋_GBK" w:eastAsia="方正仿宋_GBK" w:cs="方正仿宋_GBK"/>
                <w:color w:val="auto"/>
                <w:sz w:val="18"/>
                <w:szCs w:val="18"/>
              </w:rPr>
            </w:pPr>
          </w:p>
        </w:tc>
        <w:tc>
          <w:tcPr>
            <w:tcW w:w="778" w:type="dxa"/>
            <w:vAlign w:val="center"/>
          </w:tcPr>
          <w:p w14:paraId="79F915CE">
            <w:pPr>
              <w:tabs>
                <w:tab w:val="left" w:pos="320"/>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39.职业禁忌处置</w:t>
            </w:r>
          </w:p>
        </w:tc>
        <w:tc>
          <w:tcPr>
            <w:tcW w:w="3884" w:type="dxa"/>
            <w:vAlign w:val="center"/>
          </w:tcPr>
          <w:p w14:paraId="0557BBC1">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不得安排有职业禁忌的劳动者从事其所禁忌的作业。对有职业禁忌的劳动者，调离或者暂时脱离原工作岗位。</w:t>
            </w:r>
          </w:p>
        </w:tc>
        <w:tc>
          <w:tcPr>
            <w:tcW w:w="1645" w:type="dxa"/>
            <w:vAlign w:val="center"/>
          </w:tcPr>
          <w:p w14:paraId="1156FB93">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查阅体检报告，核对职业禁忌劳动者的调岗情况</w:t>
            </w:r>
          </w:p>
        </w:tc>
        <w:tc>
          <w:tcPr>
            <w:tcW w:w="1385" w:type="dxa"/>
            <w:vAlign w:val="center"/>
          </w:tcPr>
          <w:p w14:paraId="039D3FAF">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有调岗手续，且调岗岗位与健康状况相适应</w:t>
            </w:r>
          </w:p>
        </w:tc>
        <w:tc>
          <w:tcPr>
            <w:tcW w:w="1401" w:type="dxa"/>
            <w:vAlign w:val="center"/>
          </w:tcPr>
          <w:p w14:paraId="5D9C853A">
            <w:pPr>
              <w:adjustRightInd w:val="0"/>
              <w:snapToGrid w:val="0"/>
              <w:jc w:val="center"/>
              <w:rPr>
                <w:rFonts w:hint="eastAsia" w:ascii="方正仿宋_GBK" w:hAnsi="方正仿宋_GBK" w:eastAsia="方正仿宋_GBK" w:cs="方正仿宋_GBK"/>
                <w:color w:val="auto"/>
                <w:sz w:val="18"/>
                <w:szCs w:val="18"/>
                <w:lang w:val="en"/>
              </w:rPr>
            </w:pPr>
            <w:r>
              <w:rPr>
                <w:rFonts w:hint="eastAsia" w:ascii="方正仿宋_GBK" w:hAnsi="方正仿宋_GBK" w:eastAsia="方正仿宋_GBK" w:cs="方正仿宋_GBK"/>
                <w:color w:val="auto"/>
                <w:sz w:val="18"/>
                <w:szCs w:val="18"/>
                <w:lang w:val="en"/>
              </w:rPr>
              <w:t>-</w:t>
            </w:r>
          </w:p>
        </w:tc>
        <w:tc>
          <w:tcPr>
            <w:tcW w:w="1294" w:type="dxa"/>
            <w:vAlign w:val="center"/>
          </w:tcPr>
          <w:p w14:paraId="2D0F3E4C">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存在职业禁忌劳动者，但未调岗</w:t>
            </w:r>
          </w:p>
        </w:tc>
        <w:tc>
          <w:tcPr>
            <w:tcW w:w="1136" w:type="dxa"/>
            <w:vAlign w:val="center"/>
          </w:tcPr>
          <w:p w14:paraId="3E8B1AE6">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不涉及职业禁忌的劳动者</w:t>
            </w:r>
          </w:p>
        </w:tc>
        <w:tc>
          <w:tcPr>
            <w:tcW w:w="425" w:type="dxa"/>
            <w:vAlign w:val="center"/>
          </w:tcPr>
          <w:p w14:paraId="5BD2455E">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10</w:t>
            </w:r>
          </w:p>
        </w:tc>
        <w:tc>
          <w:tcPr>
            <w:tcW w:w="996" w:type="dxa"/>
            <w:vAlign w:val="center"/>
          </w:tcPr>
          <w:p w14:paraId="7EA59B03">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23F0DEBA">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p w14:paraId="41A51C4C">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□合理缺项</w:t>
            </w:r>
          </w:p>
        </w:tc>
        <w:tc>
          <w:tcPr>
            <w:tcW w:w="381" w:type="dxa"/>
            <w:vAlign w:val="center"/>
          </w:tcPr>
          <w:p w14:paraId="662FC117">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115B2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67" w:type="dxa"/>
            <w:vMerge w:val="continue"/>
            <w:vAlign w:val="center"/>
          </w:tcPr>
          <w:p w14:paraId="19F85094">
            <w:pPr>
              <w:tabs>
                <w:tab w:val="left" w:pos="253"/>
              </w:tabs>
              <w:adjustRightInd w:val="0"/>
              <w:snapToGrid w:val="0"/>
              <w:rPr>
                <w:rFonts w:hint="eastAsia" w:ascii="方正仿宋_GBK" w:hAnsi="方正仿宋_GBK" w:eastAsia="方正仿宋_GBK" w:cs="方正仿宋_GBK"/>
                <w:color w:val="auto"/>
                <w:sz w:val="18"/>
                <w:szCs w:val="18"/>
              </w:rPr>
            </w:pPr>
          </w:p>
        </w:tc>
        <w:tc>
          <w:tcPr>
            <w:tcW w:w="778" w:type="dxa"/>
            <w:vAlign w:val="center"/>
          </w:tcPr>
          <w:p w14:paraId="4A507A01">
            <w:pPr>
              <w:tabs>
                <w:tab w:val="left" w:pos="320"/>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40.职业病病人报告</w:t>
            </w:r>
          </w:p>
        </w:tc>
        <w:tc>
          <w:tcPr>
            <w:tcW w:w="3884" w:type="dxa"/>
            <w:vAlign w:val="center"/>
          </w:tcPr>
          <w:p w14:paraId="05374E37">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发现职业病病人或者疑似职业病病人时，应当及时向所在地卫生健康主管部门报告，确诊为职业病的，应当向所在地劳动保障行政部门报告。</w:t>
            </w:r>
          </w:p>
        </w:tc>
        <w:tc>
          <w:tcPr>
            <w:tcW w:w="1645" w:type="dxa"/>
            <w:vAlign w:val="center"/>
          </w:tcPr>
          <w:p w14:paraId="0B68379A">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查阅职业病病人和疑似职业病病人相关报告记录</w:t>
            </w:r>
          </w:p>
        </w:tc>
        <w:tc>
          <w:tcPr>
            <w:tcW w:w="1385" w:type="dxa"/>
            <w:vAlign w:val="center"/>
          </w:tcPr>
          <w:p w14:paraId="1C841EA5">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按要求进行报告</w:t>
            </w:r>
          </w:p>
        </w:tc>
        <w:tc>
          <w:tcPr>
            <w:tcW w:w="1401" w:type="dxa"/>
            <w:vAlign w:val="center"/>
          </w:tcPr>
          <w:p w14:paraId="2243E29D">
            <w:pPr>
              <w:adjustRightInd w:val="0"/>
              <w:snapToGrid w:val="0"/>
              <w:jc w:val="center"/>
              <w:rPr>
                <w:rFonts w:hint="eastAsia" w:ascii="方正仿宋_GBK" w:hAnsi="方正仿宋_GBK" w:eastAsia="方正仿宋_GBK" w:cs="方正仿宋_GBK"/>
                <w:color w:val="auto"/>
                <w:sz w:val="18"/>
                <w:szCs w:val="18"/>
                <w:lang w:val="en"/>
              </w:rPr>
            </w:pPr>
            <w:r>
              <w:rPr>
                <w:rFonts w:hint="eastAsia" w:ascii="方正仿宋_GBK" w:hAnsi="方正仿宋_GBK" w:eastAsia="方正仿宋_GBK" w:cs="方正仿宋_GBK"/>
                <w:color w:val="auto"/>
                <w:sz w:val="18"/>
                <w:szCs w:val="18"/>
                <w:lang w:val="en"/>
              </w:rPr>
              <w:t>-</w:t>
            </w:r>
          </w:p>
        </w:tc>
        <w:tc>
          <w:tcPr>
            <w:tcW w:w="1294" w:type="dxa"/>
            <w:vAlign w:val="center"/>
          </w:tcPr>
          <w:p w14:paraId="5E419EBA">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未按要求进行报告</w:t>
            </w:r>
          </w:p>
        </w:tc>
        <w:tc>
          <w:tcPr>
            <w:tcW w:w="1136" w:type="dxa"/>
            <w:vAlign w:val="center"/>
          </w:tcPr>
          <w:p w14:paraId="23D170AE">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无职业病病人或者疑似职业病病人</w:t>
            </w:r>
          </w:p>
        </w:tc>
        <w:tc>
          <w:tcPr>
            <w:tcW w:w="425" w:type="dxa"/>
            <w:vAlign w:val="center"/>
          </w:tcPr>
          <w:p w14:paraId="176A8A1D">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5</w:t>
            </w:r>
          </w:p>
        </w:tc>
        <w:tc>
          <w:tcPr>
            <w:tcW w:w="996" w:type="dxa"/>
            <w:vAlign w:val="center"/>
          </w:tcPr>
          <w:p w14:paraId="13A093B0">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47CC8FB4">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p w14:paraId="3D736B28">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□合理缺项</w:t>
            </w:r>
          </w:p>
        </w:tc>
        <w:tc>
          <w:tcPr>
            <w:tcW w:w="381" w:type="dxa"/>
            <w:vAlign w:val="center"/>
          </w:tcPr>
          <w:p w14:paraId="47954485">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699B4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67" w:type="dxa"/>
            <w:vMerge w:val="continue"/>
            <w:vAlign w:val="center"/>
          </w:tcPr>
          <w:p w14:paraId="46FF8858">
            <w:pPr>
              <w:tabs>
                <w:tab w:val="left" w:pos="253"/>
              </w:tabs>
              <w:adjustRightInd w:val="0"/>
              <w:snapToGrid w:val="0"/>
              <w:rPr>
                <w:rFonts w:hint="eastAsia" w:ascii="方正仿宋_GBK" w:hAnsi="方正仿宋_GBK" w:eastAsia="方正仿宋_GBK" w:cs="方正仿宋_GBK"/>
                <w:color w:val="auto"/>
                <w:sz w:val="18"/>
                <w:szCs w:val="18"/>
              </w:rPr>
            </w:pPr>
          </w:p>
        </w:tc>
        <w:tc>
          <w:tcPr>
            <w:tcW w:w="778" w:type="dxa"/>
            <w:vAlign w:val="center"/>
          </w:tcPr>
          <w:p w14:paraId="5A09F218">
            <w:pPr>
              <w:tabs>
                <w:tab w:val="left" w:pos="320"/>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41.疑似职业病病人诊断</w:t>
            </w:r>
          </w:p>
        </w:tc>
        <w:tc>
          <w:tcPr>
            <w:tcW w:w="3884" w:type="dxa"/>
            <w:vAlign w:val="center"/>
          </w:tcPr>
          <w:p w14:paraId="2E923CF3">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(1)应及时安排对疑似职业病病人进行诊断,承担疑似职业病病人在诊断、医学观察期间的费用；</w:t>
            </w:r>
          </w:p>
          <w:p w14:paraId="3DE44DE7">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(2)如实提供职业病诊断、鉴定所需的劳动者职业史和职业病危害接触史、工作场所职业病危害因素检测结果和放射工作人员个人剂量监测结果等资料；</w:t>
            </w:r>
          </w:p>
          <w:p w14:paraId="6A6C85CB">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(3)在疑似职业病病人诊断或者医学观察期间，不得解除或者终止与其订立的劳动合同。</w:t>
            </w:r>
          </w:p>
        </w:tc>
        <w:tc>
          <w:tcPr>
            <w:tcW w:w="1645" w:type="dxa"/>
            <w:vAlign w:val="center"/>
          </w:tcPr>
          <w:p w14:paraId="21B32E03">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查阅疑似职业病病人诊断资料及劳动用工情况</w:t>
            </w:r>
          </w:p>
        </w:tc>
        <w:tc>
          <w:tcPr>
            <w:tcW w:w="1385" w:type="dxa"/>
            <w:vAlign w:val="center"/>
          </w:tcPr>
          <w:p w14:paraId="5ADADF84">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按要求及时安排疑似职业病病人进行诊断，承担诊断</w:t>
            </w:r>
            <w:r>
              <w:rPr>
                <w:rFonts w:hint="eastAsia" w:ascii="方正仿宋_GBK" w:hAnsi="方正仿宋_GBK" w:eastAsia="方正仿宋_GBK" w:cs="方正仿宋_GBK"/>
                <w:color w:val="auto"/>
                <w:sz w:val="18"/>
                <w:szCs w:val="18"/>
              </w:rPr>
              <w:t>、医学观察期间</w:t>
            </w:r>
            <w:r>
              <w:rPr>
                <w:rFonts w:hint="eastAsia" w:ascii="方正仿宋_GBK" w:hAnsi="方正仿宋_GBK" w:eastAsia="方正仿宋_GBK" w:cs="方正仿宋_GBK"/>
                <w:color w:val="auto"/>
                <w:kern w:val="0"/>
                <w:sz w:val="18"/>
                <w:szCs w:val="18"/>
              </w:rPr>
              <w:t>等费用，并如实提供诊断鉴定所需资料，且诊断或医学观察期间未解除或者终止与其订立的劳动合同</w:t>
            </w:r>
          </w:p>
        </w:tc>
        <w:tc>
          <w:tcPr>
            <w:tcW w:w="1401" w:type="dxa"/>
            <w:vAlign w:val="center"/>
          </w:tcPr>
          <w:p w14:paraId="2E099E56">
            <w:pPr>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sz w:val="18"/>
                <w:szCs w:val="18"/>
                <w:lang w:val="en"/>
              </w:rPr>
              <w:t>-</w:t>
            </w:r>
          </w:p>
        </w:tc>
        <w:tc>
          <w:tcPr>
            <w:tcW w:w="1294" w:type="dxa"/>
            <w:vAlign w:val="center"/>
          </w:tcPr>
          <w:p w14:paraId="56B00E85">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未及时安排疑似职业病病人进行诊断；或未承担诊断</w:t>
            </w:r>
            <w:r>
              <w:rPr>
                <w:rFonts w:hint="eastAsia" w:ascii="方正仿宋_GBK" w:hAnsi="方正仿宋_GBK" w:eastAsia="方正仿宋_GBK" w:cs="方正仿宋_GBK"/>
                <w:color w:val="auto"/>
                <w:sz w:val="18"/>
                <w:szCs w:val="18"/>
              </w:rPr>
              <w:t>、医学观察期间</w:t>
            </w:r>
            <w:r>
              <w:rPr>
                <w:rFonts w:hint="eastAsia" w:ascii="方正仿宋_GBK" w:hAnsi="方正仿宋_GBK" w:eastAsia="方正仿宋_GBK" w:cs="方正仿宋_GBK"/>
                <w:color w:val="auto"/>
                <w:kern w:val="0"/>
                <w:sz w:val="18"/>
                <w:szCs w:val="18"/>
              </w:rPr>
              <w:t>等费用；或未如实提供诊断鉴定所诊断或医学观察期间解除；或终止与其订立的劳动合同需资料；</w:t>
            </w:r>
          </w:p>
        </w:tc>
        <w:tc>
          <w:tcPr>
            <w:tcW w:w="1136" w:type="dxa"/>
            <w:vAlign w:val="center"/>
          </w:tcPr>
          <w:p w14:paraId="438FA2C7">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无疑似职业病病人</w:t>
            </w:r>
          </w:p>
        </w:tc>
        <w:tc>
          <w:tcPr>
            <w:tcW w:w="425" w:type="dxa"/>
            <w:vAlign w:val="center"/>
          </w:tcPr>
          <w:p w14:paraId="424BFDE5">
            <w:pPr>
              <w:widowControl/>
              <w:adjustRightInd w:val="0"/>
              <w:snapToGrid w:val="0"/>
              <w:jc w:val="center"/>
              <w:rPr>
                <w:rFonts w:hint="eastAsia" w:ascii="方正仿宋_GBK" w:hAnsi="方正仿宋_GBK" w:eastAsia="方正仿宋_GBK" w:cs="方正仿宋_GBK"/>
                <w:strike/>
                <w:color w:val="auto"/>
                <w:kern w:val="0"/>
                <w:sz w:val="18"/>
                <w:szCs w:val="18"/>
              </w:rPr>
            </w:pPr>
            <w:r>
              <w:rPr>
                <w:rFonts w:hint="eastAsia" w:ascii="方正仿宋_GBK" w:hAnsi="方正仿宋_GBK" w:eastAsia="方正仿宋_GBK" w:cs="方正仿宋_GBK"/>
                <w:color w:val="auto"/>
                <w:kern w:val="0"/>
                <w:sz w:val="18"/>
                <w:szCs w:val="18"/>
              </w:rPr>
              <w:t>10</w:t>
            </w:r>
          </w:p>
        </w:tc>
        <w:tc>
          <w:tcPr>
            <w:tcW w:w="996" w:type="dxa"/>
            <w:vAlign w:val="center"/>
          </w:tcPr>
          <w:p w14:paraId="0A843E92">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2138DF36">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p w14:paraId="3E23EF67">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□合理缺项</w:t>
            </w:r>
          </w:p>
        </w:tc>
        <w:tc>
          <w:tcPr>
            <w:tcW w:w="381" w:type="dxa"/>
            <w:vAlign w:val="center"/>
          </w:tcPr>
          <w:p w14:paraId="2FC0F4AA">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08A0E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67" w:type="dxa"/>
            <w:vMerge w:val="continue"/>
            <w:vAlign w:val="center"/>
          </w:tcPr>
          <w:p w14:paraId="1BA7FB6E">
            <w:pPr>
              <w:tabs>
                <w:tab w:val="left" w:pos="253"/>
              </w:tabs>
              <w:adjustRightInd w:val="0"/>
              <w:snapToGrid w:val="0"/>
              <w:rPr>
                <w:rFonts w:hint="eastAsia" w:ascii="方正仿宋_GBK" w:hAnsi="方正仿宋_GBK" w:eastAsia="方正仿宋_GBK" w:cs="方正仿宋_GBK"/>
                <w:color w:val="auto"/>
                <w:sz w:val="18"/>
                <w:szCs w:val="18"/>
              </w:rPr>
            </w:pPr>
          </w:p>
        </w:tc>
        <w:tc>
          <w:tcPr>
            <w:tcW w:w="778" w:type="dxa"/>
            <w:vAlign w:val="center"/>
          </w:tcPr>
          <w:p w14:paraId="1B9E7ED6">
            <w:pPr>
              <w:tabs>
                <w:tab w:val="left" w:pos="320"/>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42.职业病病人诊疗</w:t>
            </w:r>
          </w:p>
        </w:tc>
        <w:tc>
          <w:tcPr>
            <w:tcW w:w="3884" w:type="dxa"/>
            <w:vAlign w:val="center"/>
          </w:tcPr>
          <w:p w14:paraId="37DBDF4B">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用人单位应当保障职业病病人依法享受国家规定的职业病待遇。按照国家有关规定，安排职业病病人进行治疗、康复和定期检查。</w:t>
            </w:r>
          </w:p>
        </w:tc>
        <w:tc>
          <w:tcPr>
            <w:tcW w:w="1645" w:type="dxa"/>
            <w:vAlign w:val="center"/>
          </w:tcPr>
          <w:p w14:paraId="5790893C">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查阅职业病病人治疗、康复和定期检查资料</w:t>
            </w:r>
          </w:p>
        </w:tc>
        <w:tc>
          <w:tcPr>
            <w:tcW w:w="1385" w:type="dxa"/>
            <w:vAlign w:val="center"/>
          </w:tcPr>
          <w:p w14:paraId="2E90E661">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按要求</w:t>
            </w:r>
            <w:r>
              <w:rPr>
                <w:rFonts w:hint="eastAsia" w:ascii="方正仿宋_GBK" w:hAnsi="方正仿宋_GBK" w:eastAsia="方正仿宋_GBK" w:cs="方正仿宋_GBK"/>
                <w:color w:val="auto"/>
                <w:sz w:val="18"/>
                <w:szCs w:val="18"/>
              </w:rPr>
              <w:t>安排职业病病人进行治疗、康复和定期检查</w:t>
            </w:r>
          </w:p>
        </w:tc>
        <w:tc>
          <w:tcPr>
            <w:tcW w:w="1401" w:type="dxa"/>
            <w:vAlign w:val="center"/>
          </w:tcPr>
          <w:p w14:paraId="213AE619">
            <w:pPr>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1294" w:type="dxa"/>
            <w:vAlign w:val="center"/>
          </w:tcPr>
          <w:p w14:paraId="44AF886B">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sz w:val="18"/>
                <w:szCs w:val="18"/>
              </w:rPr>
              <w:t>未按要求安排职业病病人进行治疗、康复和定期检查</w:t>
            </w:r>
          </w:p>
        </w:tc>
        <w:tc>
          <w:tcPr>
            <w:tcW w:w="1136" w:type="dxa"/>
            <w:vAlign w:val="center"/>
          </w:tcPr>
          <w:p w14:paraId="61F4E887">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无职业病病人</w:t>
            </w:r>
          </w:p>
        </w:tc>
        <w:tc>
          <w:tcPr>
            <w:tcW w:w="425" w:type="dxa"/>
            <w:vAlign w:val="center"/>
          </w:tcPr>
          <w:p w14:paraId="47BEE226">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5</w:t>
            </w:r>
          </w:p>
        </w:tc>
        <w:tc>
          <w:tcPr>
            <w:tcW w:w="996" w:type="dxa"/>
            <w:vAlign w:val="center"/>
          </w:tcPr>
          <w:p w14:paraId="1E4ECEC5">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6BED6D34">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p w14:paraId="5A43856D">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□合理缺项</w:t>
            </w:r>
          </w:p>
        </w:tc>
        <w:tc>
          <w:tcPr>
            <w:tcW w:w="381" w:type="dxa"/>
            <w:vAlign w:val="center"/>
          </w:tcPr>
          <w:p w14:paraId="4E76DCEA">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1E774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27" w:hRule="atLeast"/>
        </w:trPr>
        <w:tc>
          <w:tcPr>
            <w:tcW w:w="667" w:type="dxa"/>
            <w:vMerge w:val="restart"/>
            <w:vAlign w:val="center"/>
          </w:tcPr>
          <w:p w14:paraId="1C3BFA53">
            <w:pPr>
              <w:tabs>
                <w:tab w:val="left" w:pos="253"/>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kern w:val="0"/>
                <w:sz w:val="18"/>
                <w:szCs w:val="18"/>
              </w:rPr>
              <w:t>十、应急救援和职业病危害事故调查处理</w:t>
            </w:r>
          </w:p>
        </w:tc>
        <w:tc>
          <w:tcPr>
            <w:tcW w:w="778" w:type="dxa"/>
            <w:vAlign w:val="center"/>
          </w:tcPr>
          <w:p w14:paraId="178A6CE6">
            <w:pPr>
              <w:tabs>
                <w:tab w:val="left" w:pos="320"/>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43.应急救援预案和演练</w:t>
            </w:r>
          </w:p>
        </w:tc>
        <w:tc>
          <w:tcPr>
            <w:tcW w:w="3884" w:type="dxa"/>
            <w:vAlign w:val="center"/>
          </w:tcPr>
          <w:p w14:paraId="167B1FA4">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建立健全急性职业病危害事故应急救援预案，并定期演练。</w:t>
            </w:r>
          </w:p>
        </w:tc>
        <w:tc>
          <w:tcPr>
            <w:tcW w:w="1645" w:type="dxa"/>
            <w:vAlign w:val="center"/>
          </w:tcPr>
          <w:p w14:paraId="337EB60E">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查阅应急救援预案，预案应明确责任人、组织机构、事故发生后的疏通线路、技术方案、救援设施的维护和启动、救护方案等；查阅演练记录</w:t>
            </w:r>
          </w:p>
        </w:tc>
        <w:tc>
          <w:tcPr>
            <w:tcW w:w="1385" w:type="dxa"/>
            <w:vAlign w:val="center"/>
          </w:tcPr>
          <w:p w14:paraId="798158C0">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kern w:val="0"/>
                <w:sz w:val="18"/>
                <w:szCs w:val="18"/>
              </w:rPr>
              <w:t>建立有急性职业病危害事故应急救援预案，预案内容全面，具有可操作性；定期进行应急救援预案演练，且有演练记录，记录内含改进建议</w:t>
            </w:r>
          </w:p>
        </w:tc>
        <w:tc>
          <w:tcPr>
            <w:tcW w:w="1401" w:type="dxa"/>
            <w:vAlign w:val="center"/>
          </w:tcPr>
          <w:p w14:paraId="31DD2296">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kern w:val="0"/>
                <w:sz w:val="18"/>
                <w:szCs w:val="18"/>
              </w:rPr>
              <w:t>建立有急性职业病危害事故应急救援预案，预案内容较全面，具有一定的可操作性；定期进行应急救援预案演练，但演练记录内容不完整，缺少改进建议等</w:t>
            </w:r>
          </w:p>
        </w:tc>
        <w:tc>
          <w:tcPr>
            <w:tcW w:w="1294" w:type="dxa"/>
            <w:vAlign w:val="center"/>
          </w:tcPr>
          <w:p w14:paraId="211679C1">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kern w:val="0"/>
                <w:sz w:val="18"/>
                <w:szCs w:val="18"/>
              </w:rPr>
              <w:t>未建立急性职业病危害事故应急救援预案</w:t>
            </w:r>
            <w:r>
              <w:rPr>
                <w:rFonts w:hint="eastAsia" w:ascii="方正仿宋_GBK" w:hAnsi="方正仿宋_GBK" w:eastAsia="方正仿宋_GBK" w:cs="方正仿宋_GBK"/>
                <w:color w:val="auto"/>
                <w:sz w:val="18"/>
                <w:szCs w:val="18"/>
              </w:rPr>
              <w:t>或不具有可操作性；或未进行应急救援预案演练</w:t>
            </w:r>
          </w:p>
        </w:tc>
        <w:tc>
          <w:tcPr>
            <w:tcW w:w="1136" w:type="dxa"/>
            <w:vAlign w:val="center"/>
          </w:tcPr>
          <w:p w14:paraId="6906D726">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不涉及急性职业病危害事故</w:t>
            </w:r>
          </w:p>
        </w:tc>
        <w:tc>
          <w:tcPr>
            <w:tcW w:w="425" w:type="dxa"/>
            <w:vAlign w:val="center"/>
          </w:tcPr>
          <w:p w14:paraId="013CB3D3">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10</w:t>
            </w:r>
          </w:p>
        </w:tc>
        <w:tc>
          <w:tcPr>
            <w:tcW w:w="996" w:type="dxa"/>
            <w:vAlign w:val="center"/>
          </w:tcPr>
          <w:p w14:paraId="63DF70DE">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0737A273">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□基本符合</w:t>
            </w:r>
          </w:p>
          <w:p w14:paraId="6D0FA1CC">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p w14:paraId="1E02FF8F">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□合理缺项</w:t>
            </w:r>
          </w:p>
        </w:tc>
        <w:tc>
          <w:tcPr>
            <w:tcW w:w="381" w:type="dxa"/>
            <w:vAlign w:val="center"/>
          </w:tcPr>
          <w:p w14:paraId="1B3FDE32">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13B46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01" w:hRule="atLeast"/>
        </w:trPr>
        <w:tc>
          <w:tcPr>
            <w:tcW w:w="667" w:type="dxa"/>
            <w:vMerge w:val="continue"/>
            <w:vAlign w:val="center"/>
          </w:tcPr>
          <w:p w14:paraId="49A47705">
            <w:pPr>
              <w:tabs>
                <w:tab w:val="left" w:pos="253"/>
              </w:tabs>
              <w:adjustRightInd w:val="0"/>
              <w:snapToGrid w:val="0"/>
              <w:rPr>
                <w:rFonts w:hint="eastAsia" w:ascii="方正仿宋_GBK" w:hAnsi="方正仿宋_GBK" w:eastAsia="方正仿宋_GBK" w:cs="方正仿宋_GBK"/>
                <w:color w:val="auto"/>
                <w:sz w:val="18"/>
                <w:szCs w:val="18"/>
              </w:rPr>
            </w:pPr>
          </w:p>
        </w:tc>
        <w:tc>
          <w:tcPr>
            <w:tcW w:w="778" w:type="dxa"/>
            <w:vAlign w:val="center"/>
          </w:tcPr>
          <w:p w14:paraId="332687A3">
            <w:pPr>
              <w:tabs>
                <w:tab w:val="left" w:pos="320"/>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44.应急设施配备</w:t>
            </w:r>
          </w:p>
        </w:tc>
        <w:tc>
          <w:tcPr>
            <w:tcW w:w="3884" w:type="dxa"/>
            <w:vAlign w:val="center"/>
          </w:tcPr>
          <w:p w14:paraId="7FAFBA08">
            <w:pPr>
              <w:widowControl/>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(1)对可能发生急性职业损伤的有毒、有害工作场所，应当设置报警装置，配置现场急救用品、冲洗设备、应急撤离通道和必要的泄险区;</w:t>
            </w:r>
          </w:p>
          <w:p w14:paraId="7C72F412">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(2)建立应急救援设施台账，定期对应急救援设施进行维护，确保正常使用。</w:t>
            </w:r>
          </w:p>
        </w:tc>
        <w:tc>
          <w:tcPr>
            <w:tcW w:w="1645" w:type="dxa"/>
            <w:vAlign w:val="center"/>
          </w:tcPr>
          <w:p w14:paraId="6D6031E6">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sz w:val="18"/>
                <w:szCs w:val="18"/>
              </w:rPr>
              <w:t>查阅应急救援设施台账，现场随机抽查报警装置，现场急救用品、冲洗设备、应急撤离通道和必要的泄险区的设置和运行情况</w:t>
            </w:r>
          </w:p>
        </w:tc>
        <w:tc>
          <w:tcPr>
            <w:tcW w:w="1385" w:type="dxa"/>
            <w:vAlign w:val="center"/>
          </w:tcPr>
          <w:p w14:paraId="17603AB3">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sz w:val="18"/>
                <w:szCs w:val="18"/>
              </w:rPr>
              <w:t>建立有应急救援设施台账，</w:t>
            </w:r>
            <w:r>
              <w:rPr>
                <w:rFonts w:hint="eastAsia" w:ascii="方正仿宋_GBK" w:hAnsi="方正仿宋_GBK" w:eastAsia="方正仿宋_GBK" w:cs="方正仿宋_GBK"/>
                <w:color w:val="auto"/>
                <w:kern w:val="0"/>
                <w:sz w:val="18"/>
                <w:szCs w:val="18"/>
              </w:rPr>
              <w:t>应急设施设置种类齐全，设置位置等符合要求，定期进行维护和检修，且</w:t>
            </w:r>
            <w:r>
              <w:rPr>
                <w:rFonts w:hint="eastAsia" w:ascii="方正仿宋_GBK" w:hAnsi="方正仿宋_GBK" w:eastAsia="方正仿宋_GBK" w:cs="方正仿宋_GBK"/>
                <w:color w:val="auto"/>
                <w:sz w:val="18"/>
                <w:szCs w:val="18"/>
              </w:rPr>
              <w:t>现场随机抽查应急救援设施均可正常使用</w:t>
            </w:r>
          </w:p>
        </w:tc>
        <w:tc>
          <w:tcPr>
            <w:tcW w:w="1401" w:type="dxa"/>
            <w:vAlign w:val="center"/>
          </w:tcPr>
          <w:p w14:paraId="6CB638CA">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配备有应急设施，但种类不全；或维护不及时，</w:t>
            </w:r>
            <w:r>
              <w:rPr>
                <w:rFonts w:hint="eastAsia" w:ascii="方正仿宋_GBK" w:hAnsi="方正仿宋_GBK" w:eastAsia="方正仿宋_GBK" w:cs="方正仿宋_GBK"/>
                <w:color w:val="auto"/>
                <w:sz w:val="18"/>
                <w:szCs w:val="18"/>
              </w:rPr>
              <w:t>现场随机抽查发现部分应急救援设施不能正常使用</w:t>
            </w:r>
          </w:p>
        </w:tc>
        <w:tc>
          <w:tcPr>
            <w:tcW w:w="1294" w:type="dxa"/>
            <w:vAlign w:val="center"/>
          </w:tcPr>
          <w:p w14:paraId="12AA88A5">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未配备应急设施；或未定期进行维护，</w:t>
            </w:r>
            <w:r>
              <w:rPr>
                <w:rFonts w:hint="eastAsia" w:ascii="方正仿宋_GBK" w:hAnsi="方正仿宋_GBK" w:eastAsia="方正仿宋_GBK" w:cs="方正仿宋_GBK"/>
                <w:color w:val="auto"/>
                <w:sz w:val="18"/>
                <w:szCs w:val="18"/>
              </w:rPr>
              <w:t>现场随机抽查发现应急救援设施均不能正常使用</w:t>
            </w:r>
          </w:p>
        </w:tc>
        <w:tc>
          <w:tcPr>
            <w:tcW w:w="1136" w:type="dxa"/>
            <w:vAlign w:val="center"/>
          </w:tcPr>
          <w:p w14:paraId="46FB0341">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不涉及急性职业病危害事故</w:t>
            </w:r>
          </w:p>
        </w:tc>
        <w:tc>
          <w:tcPr>
            <w:tcW w:w="425" w:type="dxa"/>
            <w:vAlign w:val="center"/>
          </w:tcPr>
          <w:p w14:paraId="13CB8644">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15</w:t>
            </w:r>
          </w:p>
        </w:tc>
        <w:tc>
          <w:tcPr>
            <w:tcW w:w="996" w:type="dxa"/>
            <w:vAlign w:val="center"/>
          </w:tcPr>
          <w:p w14:paraId="6AC270B5">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10881DBB">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□基本符合</w:t>
            </w:r>
          </w:p>
          <w:p w14:paraId="12BE1473">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p w14:paraId="605E64D1">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□合理缺项</w:t>
            </w:r>
          </w:p>
        </w:tc>
        <w:tc>
          <w:tcPr>
            <w:tcW w:w="381" w:type="dxa"/>
            <w:vAlign w:val="center"/>
          </w:tcPr>
          <w:p w14:paraId="06F80A8C">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46559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67" w:type="dxa"/>
            <w:vMerge w:val="continue"/>
            <w:vAlign w:val="center"/>
          </w:tcPr>
          <w:p w14:paraId="783218F0">
            <w:pPr>
              <w:tabs>
                <w:tab w:val="left" w:pos="253"/>
              </w:tabs>
              <w:adjustRightInd w:val="0"/>
              <w:snapToGrid w:val="0"/>
              <w:rPr>
                <w:rFonts w:hint="eastAsia" w:ascii="方正仿宋_GBK" w:hAnsi="方正仿宋_GBK" w:eastAsia="方正仿宋_GBK" w:cs="方正仿宋_GBK"/>
                <w:color w:val="auto"/>
                <w:sz w:val="18"/>
                <w:szCs w:val="18"/>
              </w:rPr>
            </w:pPr>
          </w:p>
        </w:tc>
        <w:tc>
          <w:tcPr>
            <w:tcW w:w="778" w:type="dxa"/>
            <w:vAlign w:val="center"/>
          </w:tcPr>
          <w:p w14:paraId="3E2784AC">
            <w:pPr>
              <w:tabs>
                <w:tab w:val="left" w:pos="320"/>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45.急性职业病危害事故处置和报告</w:t>
            </w:r>
          </w:p>
        </w:tc>
        <w:tc>
          <w:tcPr>
            <w:tcW w:w="3884" w:type="dxa"/>
            <w:vAlign w:val="center"/>
          </w:tcPr>
          <w:p w14:paraId="7F311798">
            <w:pPr>
              <w:widowControl/>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(1)发生或可能发生急性职业病危害事故时，立即采取应急救援和控制措施，减少或者消除职业病危害因素，防止事故扩大，并及时按照规定报告;</w:t>
            </w:r>
          </w:p>
          <w:p w14:paraId="6FF18B17">
            <w:pPr>
              <w:widowControl/>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(2)对遭受或者可能遭受急性职业病危害的劳动者，应当及时组织救治、进行健康检查和医学观察，所需费用由用人单位承担;</w:t>
            </w:r>
          </w:p>
          <w:p w14:paraId="6E9118DF">
            <w:pPr>
              <w:widowControl/>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(3)不得故意破坏事故现场、毁灭有关证据，不得迟报、漏报、谎报或者瞒报急性职业病危害事故。</w:t>
            </w:r>
          </w:p>
        </w:tc>
        <w:tc>
          <w:tcPr>
            <w:tcW w:w="1645" w:type="dxa"/>
            <w:vAlign w:val="center"/>
          </w:tcPr>
          <w:p w14:paraId="1844D4E6">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查阅事故处置和报告情况</w:t>
            </w:r>
          </w:p>
        </w:tc>
        <w:tc>
          <w:tcPr>
            <w:tcW w:w="1385" w:type="dxa"/>
            <w:vAlign w:val="center"/>
          </w:tcPr>
          <w:p w14:paraId="3D31EE0C">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已采取相应的应急救援和控制措施，</w:t>
            </w:r>
            <w:r>
              <w:rPr>
                <w:rFonts w:hint="eastAsia" w:ascii="方正仿宋_GBK" w:hAnsi="方正仿宋_GBK" w:eastAsia="方正仿宋_GBK" w:cs="方正仿宋_GBK"/>
                <w:color w:val="auto"/>
                <w:kern w:val="0"/>
                <w:sz w:val="18"/>
                <w:szCs w:val="18"/>
              </w:rPr>
              <w:t>对遭受急性职业病危害的劳动者进行健康检查和医学观察,</w:t>
            </w:r>
            <w:r>
              <w:rPr>
                <w:rFonts w:hint="eastAsia" w:ascii="方正仿宋_GBK" w:hAnsi="方正仿宋_GBK" w:eastAsia="方正仿宋_GBK" w:cs="方正仿宋_GBK"/>
                <w:color w:val="auto"/>
                <w:sz w:val="18"/>
                <w:szCs w:val="18"/>
              </w:rPr>
              <w:t>并按要求报告所在地卫生行政部门和有关部门</w:t>
            </w:r>
          </w:p>
        </w:tc>
        <w:tc>
          <w:tcPr>
            <w:tcW w:w="1401" w:type="dxa"/>
            <w:vAlign w:val="center"/>
          </w:tcPr>
          <w:p w14:paraId="5AF2812B">
            <w:pPr>
              <w:adjustRightInd w:val="0"/>
              <w:snapToGrid w:val="0"/>
              <w:jc w:val="center"/>
              <w:rPr>
                <w:rFonts w:hint="eastAsia" w:ascii="方正仿宋_GBK" w:hAnsi="方正仿宋_GBK" w:eastAsia="方正仿宋_GBK" w:cs="方正仿宋_GBK"/>
                <w:color w:val="auto"/>
                <w:sz w:val="18"/>
                <w:szCs w:val="18"/>
                <w:lang w:val="en"/>
              </w:rPr>
            </w:pPr>
            <w:r>
              <w:rPr>
                <w:rFonts w:hint="eastAsia" w:ascii="方正仿宋_GBK" w:hAnsi="方正仿宋_GBK" w:eastAsia="方正仿宋_GBK" w:cs="方正仿宋_GBK"/>
                <w:color w:val="auto"/>
                <w:kern w:val="0"/>
                <w:sz w:val="18"/>
                <w:szCs w:val="18"/>
                <w:lang w:val="en"/>
              </w:rPr>
              <w:t>-</w:t>
            </w:r>
          </w:p>
        </w:tc>
        <w:tc>
          <w:tcPr>
            <w:tcW w:w="1294" w:type="dxa"/>
            <w:vAlign w:val="center"/>
          </w:tcPr>
          <w:p w14:paraId="5FBF048E">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未采取相应的应急救援和控制措施；或未</w:t>
            </w:r>
            <w:r>
              <w:rPr>
                <w:rFonts w:hint="eastAsia" w:ascii="方正仿宋_GBK" w:hAnsi="方正仿宋_GBK" w:eastAsia="方正仿宋_GBK" w:cs="方正仿宋_GBK"/>
                <w:color w:val="auto"/>
                <w:kern w:val="0"/>
                <w:sz w:val="18"/>
                <w:szCs w:val="18"/>
              </w:rPr>
              <w:t>对遭受急性职业病危害的劳动者进行健康检查和医学观察；</w:t>
            </w:r>
            <w:r>
              <w:rPr>
                <w:rFonts w:hint="eastAsia" w:ascii="方正仿宋_GBK" w:hAnsi="方正仿宋_GBK" w:eastAsia="方正仿宋_GBK" w:cs="方正仿宋_GBK"/>
                <w:color w:val="auto"/>
                <w:sz w:val="18"/>
                <w:szCs w:val="18"/>
              </w:rPr>
              <w:t>或未按要求报告所在地卫生行政部门和有关部门</w:t>
            </w:r>
          </w:p>
        </w:tc>
        <w:tc>
          <w:tcPr>
            <w:tcW w:w="1136" w:type="dxa"/>
            <w:vAlign w:val="center"/>
          </w:tcPr>
          <w:p w14:paraId="6FFE5469">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不涉及急性职业病危害事故</w:t>
            </w:r>
          </w:p>
        </w:tc>
        <w:tc>
          <w:tcPr>
            <w:tcW w:w="425" w:type="dxa"/>
            <w:vAlign w:val="center"/>
          </w:tcPr>
          <w:p w14:paraId="60936E93">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10</w:t>
            </w:r>
          </w:p>
        </w:tc>
        <w:tc>
          <w:tcPr>
            <w:tcW w:w="996" w:type="dxa"/>
            <w:vAlign w:val="center"/>
          </w:tcPr>
          <w:p w14:paraId="1377D8C4">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1C6FD414">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p w14:paraId="20E6F965">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□合理缺项</w:t>
            </w:r>
          </w:p>
        </w:tc>
        <w:tc>
          <w:tcPr>
            <w:tcW w:w="381" w:type="dxa"/>
            <w:vAlign w:val="center"/>
          </w:tcPr>
          <w:p w14:paraId="0948CE32">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50B51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3992" w:type="dxa"/>
            <w:gridSpan w:val="11"/>
            <w:vAlign w:val="center"/>
          </w:tcPr>
          <w:p w14:paraId="593A9B37">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b/>
                <w:bCs/>
                <w:color w:val="auto"/>
                <w:kern w:val="0"/>
                <w:sz w:val="18"/>
                <w:szCs w:val="18"/>
              </w:rPr>
              <w:t>合理缺项后满分分值:合理缺项后实际得分：最终得分（标化得分=实际得分/满分分值×100）：</w:t>
            </w:r>
          </w:p>
        </w:tc>
      </w:tr>
      <w:tr w14:paraId="391D0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3992" w:type="dxa"/>
            <w:gridSpan w:val="11"/>
            <w:vAlign w:val="center"/>
          </w:tcPr>
          <w:p w14:paraId="43C357B5">
            <w:pPr>
              <w:widowControl/>
              <w:adjustRightInd w:val="0"/>
              <w:snapToGrid w:val="0"/>
              <w:jc w:val="center"/>
              <w:rPr>
                <w:rFonts w:hint="eastAsia" w:ascii="方正仿宋_GBK" w:hAnsi="方正仿宋_GBK" w:eastAsia="方正仿宋_GBK" w:cs="方正仿宋_GBK"/>
                <w:b/>
                <w:bCs/>
                <w:color w:val="auto"/>
                <w:kern w:val="0"/>
                <w:sz w:val="24"/>
              </w:rPr>
            </w:pPr>
            <w:r>
              <w:rPr>
                <w:rFonts w:hint="eastAsia" w:ascii="方正仿宋_GBK" w:hAnsi="方正仿宋_GBK" w:eastAsia="方正仿宋_GBK" w:cs="方正仿宋_GBK"/>
                <w:b/>
                <w:bCs/>
                <w:color w:val="auto"/>
                <w:kern w:val="0"/>
                <w:sz w:val="24"/>
              </w:rPr>
              <w:t>合理缺项情况说明</w:t>
            </w:r>
          </w:p>
        </w:tc>
      </w:tr>
      <w:tr w14:paraId="0E27E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445" w:type="dxa"/>
            <w:gridSpan w:val="2"/>
            <w:vAlign w:val="center"/>
          </w:tcPr>
          <w:p w14:paraId="296CB6A4">
            <w:pPr>
              <w:widowControl/>
              <w:adjustRightInd w:val="0"/>
              <w:snapToGrid w:val="0"/>
              <w:jc w:val="center"/>
              <w:rPr>
                <w:rFonts w:hint="eastAsia" w:ascii="方正仿宋_GBK" w:hAnsi="方正仿宋_GBK" w:eastAsia="方正仿宋_GBK" w:cs="方正仿宋_GBK"/>
                <w:b/>
                <w:bCs/>
                <w:color w:val="auto"/>
                <w:kern w:val="0"/>
                <w:sz w:val="18"/>
                <w:szCs w:val="18"/>
              </w:rPr>
            </w:pPr>
            <w:r>
              <w:rPr>
                <w:rFonts w:hint="eastAsia" w:ascii="方正仿宋_GBK" w:hAnsi="方正仿宋_GBK" w:eastAsia="方正仿宋_GBK" w:cs="方正仿宋_GBK"/>
                <w:b/>
                <w:bCs/>
                <w:color w:val="auto"/>
                <w:kern w:val="0"/>
                <w:sz w:val="18"/>
                <w:szCs w:val="18"/>
              </w:rPr>
              <w:t>项目</w:t>
            </w:r>
          </w:p>
          <w:p w14:paraId="2EE63779">
            <w:pPr>
              <w:widowControl/>
              <w:adjustRightInd w:val="0"/>
              <w:snapToGrid w:val="0"/>
              <w:jc w:val="center"/>
              <w:rPr>
                <w:rFonts w:hint="eastAsia" w:ascii="方正仿宋_GBK" w:hAnsi="方正仿宋_GBK" w:eastAsia="方正仿宋_GBK" w:cs="方正仿宋_GBK"/>
                <w:b/>
                <w:bCs/>
                <w:color w:val="auto"/>
                <w:kern w:val="0"/>
                <w:sz w:val="18"/>
                <w:szCs w:val="18"/>
              </w:rPr>
            </w:pPr>
            <w:r>
              <w:rPr>
                <w:rFonts w:hint="eastAsia" w:ascii="方正仿宋_GBK" w:hAnsi="方正仿宋_GBK" w:eastAsia="方正仿宋_GBK" w:cs="方正仿宋_GBK"/>
                <w:b/>
                <w:bCs/>
                <w:color w:val="auto"/>
                <w:kern w:val="0"/>
                <w:sz w:val="18"/>
                <w:szCs w:val="18"/>
              </w:rPr>
              <w:t>（编号和项目名）</w:t>
            </w:r>
          </w:p>
        </w:tc>
        <w:tc>
          <w:tcPr>
            <w:tcW w:w="12547" w:type="dxa"/>
            <w:gridSpan w:val="9"/>
            <w:vAlign w:val="center"/>
          </w:tcPr>
          <w:p w14:paraId="3CC04368">
            <w:pPr>
              <w:widowControl/>
              <w:adjustRightInd w:val="0"/>
              <w:snapToGrid w:val="0"/>
              <w:jc w:val="center"/>
              <w:rPr>
                <w:rFonts w:hint="eastAsia" w:ascii="方正仿宋_GBK" w:hAnsi="方正仿宋_GBK" w:eastAsia="方正仿宋_GBK" w:cs="方正仿宋_GBK"/>
                <w:b/>
                <w:bCs/>
                <w:color w:val="auto"/>
                <w:kern w:val="0"/>
                <w:sz w:val="18"/>
                <w:szCs w:val="18"/>
              </w:rPr>
            </w:pPr>
            <w:r>
              <w:rPr>
                <w:rFonts w:hint="eastAsia" w:ascii="方正仿宋_GBK" w:hAnsi="方正仿宋_GBK" w:eastAsia="方正仿宋_GBK" w:cs="方正仿宋_GBK"/>
                <w:b/>
                <w:bCs/>
                <w:color w:val="auto"/>
                <w:kern w:val="0"/>
                <w:sz w:val="18"/>
                <w:szCs w:val="18"/>
              </w:rPr>
              <w:t>合理缺项情况说明</w:t>
            </w:r>
          </w:p>
        </w:tc>
      </w:tr>
      <w:tr w14:paraId="721A0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445" w:type="dxa"/>
            <w:gridSpan w:val="2"/>
            <w:vAlign w:val="center"/>
          </w:tcPr>
          <w:p w14:paraId="31F003C8">
            <w:pPr>
              <w:widowControl/>
              <w:adjustRightInd w:val="0"/>
              <w:snapToGrid w:val="0"/>
              <w:jc w:val="center"/>
              <w:rPr>
                <w:rFonts w:hint="eastAsia" w:ascii="方正仿宋_GBK" w:hAnsi="方正仿宋_GBK" w:eastAsia="方正仿宋_GBK" w:cs="方正仿宋_GBK"/>
                <w:b/>
                <w:bCs/>
                <w:color w:val="auto"/>
                <w:kern w:val="0"/>
                <w:sz w:val="18"/>
                <w:szCs w:val="18"/>
              </w:rPr>
            </w:pPr>
          </w:p>
        </w:tc>
        <w:tc>
          <w:tcPr>
            <w:tcW w:w="12547" w:type="dxa"/>
            <w:gridSpan w:val="9"/>
            <w:vAlign w:val="center"/>
          </w:tcPr>
          <w:p w14:paraId="5C9B4B8A">
            <w:pPr>
              <w:widowControl/>
              <w:adjustRightInd w:val="0"/>
              <w:snapToGrid w:val="0"/>
              <w:jc w:val="left"/>
              <w:rPr>
                <w:rFonts w:hint="eastAsia" w:ascii="方正仿宋_GBK" w:hAnsi="方正仿宋_GBK" w:eastAsia="方正仿宋_GBK" w:cs="方正仿宋_GBK"/>
                <w:b/>
                <w:bCs/>
                <w:color w:val="auto"/>
                <w:kern w:val="0"/>
                <w:sz w:val="18"/>
                <w:szCs w:val="18"/>
              </w:rPr>
            </w:pPr>
          </w:p>
        </w:tc>
      </w:tr>
      <w:tr w14:paraId="5FF1B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445" w:type="dxa"/>
            <w:gridSpan w:val="2"/>
            <w:vAlign w:val="center"/>
          </w:tcPr>
          <w:p w14:paraId="34C09733">
            <w:pPr>
              <w:widowControl/>
              <w:adjustRightInd w:val="0"/>
              <w:snapToGrid w:val="0"/>
              <w:jc w:val="center"/>
              <w:rPr>
                <w:rFonts w:hint="eastAsia" w:ascii="方正仿宋_GBK" w:hAnsi="方正仿宋_GBK" w:eastAsia="方正仿宋_GBK" w:cs="方正仿宋_GBK"/>
                <w:b/>
                <w:bCs/>
                <w:color w:val="auto"/>
                <w:kern w:val="0"/>
                <w:sz w:val="18"/>
                <w:szCs w:val="18"/>
              </w:rPr>
            </w:pPr>
          </w:p>
        </w:tc>
        <w:tc>
          <w:tcPr>
            <w:tcW w:w="12547" w:type="dxa"/>
            <w:gridSpan w:val="9"/>
            <w:vAlign w:val="center"/>
          </w:tcPr>
          <w:p w14:paraId="5FA8B478">
            <w:pPr>
              <w:widowControl/>
              <w:adjustRightInd w:val="0"/>
              <w:snapToGrid w:val="0"/>
              <w:jc w:val="left"/>
              <w:rPr>
                <w:rFonts w:hint="eastAsia" w:ascii="方正仿宋_GBK" w:hAnsi="方正仿宋_GBK" w:eastAsia="方正仿宋_GBK" w:cs="方正仿宋_GBK"/>
                <w:b/>
                <w:bCs/>
                <w:color w:val="auto"/>
                <w:kern w:val="0"/>
                <w:sz w:val="18"/>
                <w:szCs w:val="18"/>
              </w:rPr>
            </w:pPr>
          </w:p>
        </w:tc>
      </w:tr>
      <w:tr w14:paraId="295B6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445" w:type="dxa"/>
            <w:gridSpan w:val="2"/>
            <w:vAlign w:val="center"/>
          </w:tcPr>
          <w:p w14:paraId="4BB0E8FE">
            <w:pPr>
              <w:widowControl/>
              <w:adjustRightInd w:val="0"/>
              <w:snapToGrid w:val="0"/>
              <w:jc w:val="center"/>
              <w:rPr>
                <w:rFonts w:hint="eastAsia" w:ascii="方正仿宋_GBK" w:hAnsi="方正仿宋_GBK" w:eastAsia="方正仿宋_GBK" w:cs="方正仿宋_GBK"/>
                <w:b/>
                <w:bCs/>
                <w:color w:val="auto"/>
                <w:kern w:val="0"/>
                <w:sz w:val="18"/>
                <w:szCs w:val="18"/>
              </w:rPr>
            </w:pPr>
          </w:p>
        </w:tc>
        <w:tc>
          <w:tcPr>
            <w:tcW w:w="12547" w:type="dxa"/>
            <w:gridSpan w:val="9"/>
            <w:vAlign w:val="center"/>
          </w:tcPr>
          <w:p w14:paraId="10AE843C">
            <w:pPr>
              <w:widowControl/>
              <w:adjustRightInd w:val="0"/>
              <w:snapToGrid w:val="0"/>
              <w:jc w:val="left"/>
              <w:rPr>
                <w:rFonts w:hint="eastAsia" w:ascii="方正仿宋_GBK" w:hAnsi="方正仿宋_GBK" w:eastAsia="方正仿宋_GBK" w:cs="方正仿宋_GBK"/>
                <w:b/>
                <w:bCs/>
                <w:color w:val="auto"/>
                <w:kern w:val="0"/>
                <w:sz w:val="18"/>
                <w:szCs w:val="18"/>
              </w:rPr>
            </w:pPr>
          </w:p>
        </w:tc>
      </w:tr>
    </w:tbl>
    <w:p w14:paraId="797BC699">
      <w:pPr>
        <w:rPr>
          <w:rFonts w:hint="eastAsia" w:ascii="方正仿宋_GBK" w:hAnsi="方正仿宋_GBK" w:eastAsia="方正仿宋_GBK" w:cs="方正仿宋_GBK"/>
          <w:bCs/>
          <w:sz w:val="32"/>
          <w:szCs w:val="32"/>
          <w:lang w:eastAsia="zh-CN"/>
        </w:rPr>
      </w:pPr>
      <w:r>
        <w:rPr>
          <w:rFonts w:hint="eastAsia" w:ascii="方正仿宋_GBK" w:hAnsi="方正仿宋_GBK" w:eastAsia="方正仿宋_GBK" w:cs="方正仿宋_GBK"/>
          <w:bCs/>
          <w:sz w:val="32"/>
          <w:szCs w:val="32"/>
          <w:lang w:eastAsia="zh-CN"/>
        </w:rPr>
        <w:br w:type="page"/>
      </w:r>
    </w:p>
    <w:p w14:paraId="5CE94537">
      <w:pPr>
        <w:spacing w:line="300" w:lineRule="auto"/>
        <w:jc w:val="both"/>
        <w:rPr>
          <w:rFonts w:hint="eastAsia" w:ascii="国标黑体" w:hAnsi="国标黑体" w:eastAsia="国标黑体" w:cs="国标黑体"/>
          <w:b w:val="0"/>
          <w:bCs/>
          <w:color w:val="auto"/>
          <w:spacing w:val="14"/>
          <w:kern w:val="0"/>
          <w:sz w:val="32"/>
          <w:szCs w:val="32"/>
          <w:lang w:eastAsia="zh-CN"/>
        </w:rPr>
      </w:pPr>
      <w:r>
        <w:rPr>
          <w:rFonts w:hint="eastAsia" w:ascii="国标黑体" w:hAnsi="国标黑体" w:eastAsia="国标黑体" w:cs="国标黑体"/>
          <w:b w:val="0"/>
          <w:bCs/>
          <w:color w:val="auto"/>
          <w:spacing w:val="14"/>
          <w:kern w:val="0"/>
          <w:sz w:val="32"/>
          <w:szCs w:val="32"/>
          <w:lang w:eastAsia="zh-CN"/>
        </w:rPr>
        <w:t>附件</w:t>
      </w:r>
      <w:r>
        <w:rPr>
          <w:rFonts w:hint="eastAsia" w:ascii="国标黑体" w:hAnsi="国标黑体" w:eastAsia="国标黑体" w:cs="国标黑体"/>
          <w:b w:val="0"/>
          <w:bCs/>
          <w:color w:val="auto"/>
          <w:spacing w:val="14"/>
          <w:kern w:val="0"/>
          <w:sz w:val="32"/>
          <w:szCs w:val="32"/>
          <w:lang w:val="en-US" w:eastAsia="zh-CN"/>
        </w:rPr>
        <w:t>3.</w:t>
      </w:r>
      <w:r>
        <w:rPr>
          <w:rFonts w:hint="eastAsia" w:ascii="国标黑体" w:hAnsi="国标黑体" w:eastAsia="国标黑体" w:cs="国标黑体"/>
          <w:b w:val="0"/>
          <w:bCs/>
          <w:color w:val="auto"/>
          <w:spacing w:val="14"/>
          <w:kern w:val="0"/>
          <w:sz w:val="32"/>
          <w:szCs w:val="32"/>
          <w:lang w:eastAsia="zh-CN"/>
        </w:rPr>
        <w:t>2</w:t>
      </w:r>
    </w:p>
    <w:p w14:paraId="29F091E9">
      <w:pPr>
        <w:spacing w:line="300" w:lineRule="auto"/>
        <w:jc w:val="center"/>
        <w:rPr>
          <w:rFonts w:hint="eastAsia" w:ascii="仿宋_GB2312" w:hAnsi="仿宋_GB2312" w:eastAsia="仿宋_GB2312" w:cs="仿宋_GB2312"/>
          <w:b/>
          <w:color w:val="auto"/>
          <w:spacing w:val="14"/>
          <w:kern w:val="0"/>
          <w:sz w:val="32"/>
          <w:szCs w:val="32"/>
        </w:rPr>
      </w:pPr>
      <w:r>
        <w:rPr>
          <w:rFonts w:hint="eastAsia" w:ascii="仿宋_GB2312" w:hAnsi="仿宋_GB2312" w:eastAsia="仿宋_GB2312" w:cs="仿宋_GB2312"/>
          <w:b/>
          <w:color w:val="auto"/>
          <w:spacing w:val="14"/>
          <w:kern w:val="0"/>
          <w:sz w:val="32"/>
          <w:szCs w:val="32"/>
        </w:rPr>
        <w:t>用人单位职业卫生管理自查表</w:t>
      </w:r>
    </w:p>
    <w:p w14:paraId="05F01998">
      <w:pPr>
        <w:rPr>
          <w:rFonts w:ascii="Times New Roman" w:hAnsi="Times New Roman" w:eastAsia="仿宋_GB2312" w:cs="Times New Roman"/>
          <w:b/>
          <w:bCs/>
          <w:color w:val="auto"/>
          <w:szCs w:val="21"/>
        </w:rPr>
      </w:pPr>
      <w:r>
        <w:rPr>
          <w:rFonts w:ascii="Times New Roman" w:hAnsi="Times New Roman" w:eastAsia="仿宋_GB2312" w:cs="Times New Roman"/>
          <w:b/>
          <w:bCs/>
          <w:color w:val="auto"/>
          <w:kern w:val="0"/>
          <w:szCs w:val="21"/>
        </w:rPr>
        <w:t>单位名称：</w:t>
      </w:r>
      <w:r>
        <w:rPr>
          <w:rFonts w:hint="eastAsia" w:ascii="Times New Roman" w:hAnsi="Times New Roman" w:eastAsia="仿宋_GB2312" w:cs="Times New Roman"/>
          <w:b/>
          <w:bCs/>
          <w:color w:val="auto"/>
          <w:kern w:val="0"/>
          <w:szCs w:val="21"/>
          <w:lang w:val="en-US" w:eastAsia="zh-CN"/>
        </w:rPr>
        <w:t xml:space="preserve">                                                                              </w:t>
      </w:r>
      <w:r>
        <w:rPr>
          <w:rFonts w:ascii="Times New Roman" w:hAnsi="Times New Roman" w:eastAsia="仿宋_GB2312" w:cs="Times New Roman"/>
          <w:b/>
          <w:bCs/>
          <w:color w:val="auto"/>
          <w:szCs w:val="21"/>
        </w:rPr>
        <w:t>职业卫生管理状况等级：</w:t>
      </w:r>
    </w:p>
    <w:tbl>
      <w:tblPr>
        <w:tblStyle w:val="3"/>
        <w:tblW w:w="139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74"/>
        <w:gridCol w:w="861"/>
        <w:gridCol w:w="3337"/>
        <w:gridCol w:w="2071"/>
        <w:gridCol w:w="1478"/>
        <w:gridCol w:w="1329"/>
        <w:gridCol w:w="1332"/>
        <w:gridCol w:w="1038"/>
        <w:gridCol w:w="442"/>
        <w:gridCol w:w="1035"/>
        <w:gridCol w:w="395"/>
      </w:tblGrid>
      <w:tr w14:paraId="4839F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 w:hRule="atLeast"/>
          <w:tblHeader/>
        </w:trPr>
        <w:tc>
          <w:tcPr>
            <w:tcW w:w="674" w:type="dxa"/>
            <w:vMerge w:val="restart"/>
            <w:vAlign w:val="center"/>
          </w:tcPr>
          <w:p w14:paraId="11A49F59">
            <w:pPr>
              <w:widowControl/>
              <w:adjustRightInd w:val="0"/>
              <w:snapToGrid w:val="0"/>
              <w:jc w:val="center"/>
              <w:rPr>
                <w:rFonts w:hint="eastAsia" w:ascii="方正仿宋_GBK" w:hAnsi="方正仿宋_GBK" w:eastAsia="方正仿宋_GBK" w:cs="方正仿宋_GBK"/>
                <w:b/>
                <w:color w:val="auto"/>
                <w:kern w:val="0"/>
                <w:sz w:val="18"/>
                <w:szCs w:val="18"/>
              </w:rPr>
            </w:pPr>
            <w:r>
              <w:rPr>
                <w:rFonts w:hint="eastAsia" w:ascii="方正仿宋_GBK" w:hAnsi="方正仿宋_GBK" w:eastAsia="方正仿宋_GBK" w:cs="方正仿宋_GBK"/>
                <w:b/>
                <w:color w:val="auto"/>
                <w:kern w:val="0"/>
                <w:sz w:val="18"/>
                <w:szCs w:val="18"/>
              </w:rPr>
              <w:t>类别</w:t>
            </w:r>
          </w:p>
        </w:tc>
        <w:tc>
          <w:tcPr>
            <w:tcW w:w="861" w:type="dxa"/>
            <w:vMerge w:val="restart"/>
            <w:vAlign w:val="center"/>
          </w:tcPr>
          <w:p w14:paraId="52ABA3FC">
            <w:pPr>
              <w:widowControl/>
              <w:adjustRightInd w:val="0"/>
              <w:snapToGrid w:val="0"/>
              <w:jc w:val="center"/>
              <w:rPr>
                <w:rFonts w:hint="eastAsia" w:ascii="方正仿宋_GBK" w:hAnsi="方正仿宋_GBK" w:eastAsia="方正仿宋_GBK" w:cs="方正仿宋_GBK"/>
                <w:b/>
                <w:color w:val="auto"/>
                <w:kern w:val="0"/>
                <w:sz w:val="18"/>
                <w:szCs w:val="18"/>
              </w:rPr>
            </w:pPr>
            <w:r>
              <w:rPr>
                <w:rFonts w:hint="eastAsia" w:ascii="方正仿宋_GBK" w:hAnsi="方正仿宋_GBK" w:eastAsia="方正仿宋_GBK" w:cs="方正仿宋_GBK"/>
                <w:b/>
                <w:color w:val="auto"/>
                <w:kern w:val="0"/>
                <w:sz w:val="18"/>
                <w:szCs w:val="18"/>
              </w:rPr>
              <w:t>自查项目</w:t>
            </w:r>
          </w:p>
        </w:tc>
        <w:tc>
          <w:tcPr>
            <w:tcW w:w="3337" w:type="dxa"/>
            <w:vMerge w:val="restart"/>
            <w:vAlign w:val="center"/>
          </w:tcPr>
          <w:p w14:paraId="79884937">
            <w:pPr>
              <w:widowControl/>
              <w:adjustRightInd w:val="0"/>
              <w:snapToGrid w:val="0"/>
              <w:jc w:val="center"/>
              <w:rPr>
                <w:rFonts w:hint="eastAsia" w:ascii="方正仿宋_GBK" w:hAnsi="方正仿宋_GBK" w:eastAsia="方正仿宋_GBK" w:cs="方正仿宋_GBK"/>
                <w:b/>
                <w:color w:val="auto"/>
                <w:kern w:val="0"/>
                <w:sz w:val="18"/>
                <w:szCs w:val="18"/>
              </w:rPr>
            </w:pPr>
            <w:r>
              <w:rPr>
                <w:rFonts w:hint="eastAsia" w:ascii="方正仿宋_GBK" w:hAnsi="方正仿宋_GBK" w:eastAsia="方正仿宋_GBK" w:cs="方正仿宋_GBK"/>
                <w:b/>
                <w:color w:val="auto"/>
                <w:kern w:val="0"/>
                <w:sz w:val="18"/>
                <w:szCs w:val="18"/>
              </w:rPr>
              <w:t>自查内容</w:t>
            </w:r>
          </w:p>
        </w:tc>
        <w:tc>
          <w:tcPr>
            <w:tcW w:w="2071" w:type="dxa"/>
            <w:vMerge w:val="restart"/>
            <w:vAlign w:val="center"/>
          </w:tcPr>
          <w:p w14:paraId="05B78684">
            <w:pPr>
              <w:widowControl/>
              <w:adjustRightInd w:val="0"/>
              <w:snapToGrid w:val="0"/>
              <w:jc w:val="center"/>
              <w:rPr>
                <w:rFonts w:hint="eastAsia" w:ascii="方正仿宋_GBK" w:hAnsi="方正仿宋_GBK" w:eastAsia="方正仿宋_GBK" w:cs="方正仿宋_GBK"/>
                <w:b/>
                <w:color w:val="auto"/>
                <w:kern w:val="0"/>
                <w:sz w:val="18"/>
                <w:szCs w:val="18"/>
              </w:rPr>
            </w:pPr>
            <w:r>
              <w:rPr>
                <w:rFonts w:hint="eastAsia" w:ascii="方正仿宋_GBK" w:hAnsi="方正仿宋_GBK" w:eastAsia="方正仿宋_GBK" w:cs="方正仿宋_GBK"/>
                <w:b/>
                <w:color w:val="auto"/>
                <w:kern w:val="0"/>
                <w:sz w:val="18"/>
                <w:szCs w:val="18"/>
              </w:rPr>
              <w:t>自查方法</w:t>
            </w:r>
          </w:p>
        </w:tc>
        <w:tc>
          <w:tcPr>
            <w:tcW w:w="5177" w:type="dxa"/>
            <w:gridSpan w:val="4"/>
          </w:tcPr>
          <w:p w14:paraId="720A4BFC">
            <w:pPr>
              <w:widowControl/>
              <w:adjustRightInd w:val="0"/>
              <w:snapToGrid w:val="0"/>
              <w:jc w:val="center"/>
              <w:rPr>
                <w:rFonts w:hint="eastAsia" w:ascii="方正仿宋_GBK" w:hAnsi="方正仿宋_GBK" w:eastAsia="方正仿宋_GBK" w:cs="方正仿宋_GBK"/>
                <w:b/>
                <w:color w:val="auto"/>
                <w:kern w:val="0"/>
                <w:sz w:val="18"/>
                <w:szCs w:val="18"/>
              </w:rPr>
            </w:pPr>
            <w:r>
              <w:rPr>
                <w:rFonts w:hint="eastAsia" w:ascii="方正仿宋_GBK" w:hAnsi="方正仿宋_GBK" w:eastAsia="方正仿宋_GBK" w:cs="方正仿宋_GBK"/>
                <w:b/>
                <w:color w:val="auto"/>
                <w:kern w:val="0"/>
                <w:sz w:val="18"/>
                <w:szCs w:val="18"/>
              </w:rPr>
              <w:t>判定依据</w:t>
            </w:r>
          </w:p>
        </w:tc>
        <w:tc>
          <w:tcPr>
            <w:tcW w:w="442" w:type="dxa"/>
            <w:vMerge w:val="restart"/>
            <w:vAlign w:val="center"/>
          </w:tcPr>
          <w:p w14:paraId="3ECB99C7">
            <w:pPr>
              <w:widowControl/>
              <w:adjustRightInd w:val="0"/>
              <w:snapToGrid w:val="0"/>
              <w:jc w:val="center"/>
              <w:rPr>
                <w:rFonts w:hint="eastAsia" w:ascii="方正仿宋_GBK" w:hAnsi="方正仿宋_GBK" w:eastAsia="方正仿宋_GBK" w:cs="方正仿宋_GBK"/>
                <w:b/>
                <w:color w:val="auto"/>
                <w:kern w:val="0"/>
                <w:sz w:val="18"/>
                <w:szCs w:val="18"/>
              </w:rPr>
            </w:pPr>
            <w:r>
              <w:rPr>
                <w:rFonts w:hint="eastAsia" w:ascii="方正仿宋_GBK" w:hAnsi="方正仿宋_GBK" w:eastAsia="方正仿宋_GBK" w:cs="方正仿宋_GBK"/>
                <w:b/>
                <w:color w:val="auto"/>
                <w:kern w:val="0"/>
                <w:sz w:val="18"/>
                <w:szCs w:val="18"/>
              </w:rPr>
              <w:t>分值</w:t>
            </w:r>
          </w:p>
        </w:tc>
        <w:tc>
          <w:tcPr>
            <w:tcW w:w="1035" w:type="dxa"/>
            <w:vMerge w:val="restart"/>
            <w:vAlign w:val="center"/>
          </w:tcPr>
          <w:p w14:paraId="23EF3D01">
            <w:pPr>
              <w:widowControl/>
              <w:adjustRightInd w:val="0"/>
              <w:snapToGrid w:val="0"/>
              <w:jc w:val="center"/>
              <w:rPr>
                <w:rFonts w:hint="eastAsia" w:ascii="方正仿宋_GBK" w:hAnsi="方正仿宋_GBK" w:eastAsia="方正仿宋_GBK" w:cs="方正仿宋_GBK"/>
                <w:b/>
                <w:color w:val="auto"/>
                <w:kern w:val="0"/>
                <w:sz w:val="18"/>
                <w:szCs w:val="18"/>
              </w:rPr>
            </w:pPr>
            <w:r>
              <w:rPr>
                <w:rFonts w:hint="eastAsia" w:ascii="方正仿宋_GBK" w:hAnsi="方正仿宋_GBK" w:eastAsia="方正仿宋_GBK" w:cs="方正仿宋_GBK"/>
                <w:b/>
                <w:color w:val="auto"/>
                <w:kern w:val="0"/>
                <w:sz w:val="18"/>
                <w:szCs w:val="18"/>
              </w:rPr>
              <w:t>自查结果</w:t>
            </w:r>
          </w:p>
        </w:tc>
        <w:tc>
          <w:tcPr>
            <w:tcW w:w="395" w:type="dxa"/>
            <w:vMerge w:val="restart"/>
            <w:vAlign w:val="center"/>
          </w:tcPr>
          <w:p w14:paraId="274CE0A2">
            <w:pPr>
              <w:widowControl/>
              <w:adjustRightInd w:val="0"/>
              <w:snapToGrid w:val="0"/>
              <w:jc w:val="center"/>
              <w:rPr>
                <w:rFonts w:hint="eastAsia" w:ascii="方正仿宋_GBK" w:hAnsi="方正仿宋_GBK" w:eastAsia="方正仿宋_GBK" w:cs="方正仿宋_GBK"/>
                <w:b/>
                <w:color w:val="auto"/>
                <w:kern w:val="0"/>
                <w:sz w:val="18"/>
                <w:szCs w:val="18"/>
              </w:rPr>
            </w:pPr>
            <w:r>
              <w:rPr>
                <w:rFonts w:hint="eastAsia" w:ascii="方正仿宋_GBK" w:hAnsi="方正仿宋_GBK" w:eastAsia="方正仿宋_GBK" w:cs="方正仿宋_GBK"/>
                <w:b/>
                <w:color w:val="auto"/>
                <w:kern w:val="0"/>
                <w:sz w:val="18"/>
                <w:szCs w:val="18"/>
              </w:rPr>
              <w:t>得分</w:t>
            </w:r>
          </w:p>
        </w:tc>
      </w:tr>
      <w:tr w14:paraId="00D8B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 w:hRule="atLeast"/>
          <w:tblHeader/>
        </w:trPr>
        <w:tc>
          <w:tcPr>
            <w:tcW w:w="674" w:type="dxa"/>
            <w:vMerge w:val="continue"/>
            <w:vAlign w:val="center"/>
          </w:tcPr>
          <w:p w14:paraId="60157047">
            <w:pPr>
              <w:widowControl/>
              <w:adjustRightInd w:val="0"/>
              <w:snapToGrid w:val="0"/>
              <w:jc w:val="center"/>
              <w:rPr>
                <w:rFonts w:hint="eastAsia" w:ascii="方正仿宋_GBK" w:hAnsi="方正仿宋_GBK" w:eastAsia="方正仿宋_GBK" w:cs="方正仿宋_GBK"/>
                <w:b/>
                <w:color w:val="auto"/>
                <w:kern w:val="0"/>
                <w:sz w:val="18"/>
                <w:szCs w:val="18"/>
              </w:rPr>
            </w:pPr>
          </w:p>
        </w:tc>
        <w:tc>
          <w:tcPr>
            <w:tcW w:w="861" w:type="dxa"/>
            <w:vMerge w:val="continue"/>
            <w:vAlign w:val="center"/>
          </w:tcPr>
          <w:p w14:paraId="6B60ACCD">
            <w:pPr>
              <w:widowControl/>
              <w:adjustRightInd w:val="0"/>
              <w:snapToGrid w:val="0"/>
              <w:jc w:val="center"/>
              <w:rPr>
                <w:rFonts w:hint="eastAsia" w:ascii="方正仿宋_GBK" w:hAnsi="方正仿宋_GBK" w:eastAsia="方正仿宋_GBK" w:cs="方正仿宋_GBK"/>
                <w:b/>
                <w:color w:val="auto"/>
                <w:kern w:val="0"/>
                <w:sz w:val="18"/>
                <w:szCs w:val="18"/>
              </w:rPr>
            </w:pPr>
          </w:p>
        </w:tc>
        <w:tc>
          <w:tcPr>
            <w:tcW w:w="3337" w:type="dxa"/>
            <w:vMerge w:val="continue"/>
            <w:vAlign w:val="center"/>
          </w:tcPr>
          <w:p w14:paraId="39C71A5C">
            <w:pPr>
              <w:widowControl/>
              <w:adjustRightInd w:val="0"/>
              <w:snapToGrid w:val="0"/>
              <w:jc w:val="center"/>
              <w:rPr>
                <w:rFonts w:hint="eastAsia" w:ascii="方正仿宋_GBK" w:hAnsi="方正仿宋_GBK" w:eastAsia="方正仿宋_GBK" w:cs="方正仿宋_GBK"/>
                <w:b/>
                <w:color w:val="auto"/>
                <w:kern w:val="0"/>
                <w:sz w:val="18"/>
                <w:szCs w:val="18"/>
              </w:rPr>
            </w:pPr>
          </w:p>
        </w:tc>
        <w:tc>
          <w:tcPr>
            <w:tcW w:w="2071" w:type="dxa"/>
            <w:vMerge w:val="continue"/>
            <w:vAlign w:val="center"/>
          </w:tcPr>
          <w:p w14:paraId="1E8965A5">
            <w:pPr>
              <w:widowControl/>
              <w:adjustRightInd w:val="0"/>
              <w:snapToGrid w:val="0"/>
              <w:jc w:val="center"/>
              <w:rPr>
                <w:rFonts w:hint="eastAsia" w:ascii="方正仿宋_GBK" w:hAnsi="方正仿宋_GBK" w:eastAsia="方正仿宋_GBK" w:cs="方正仿宋_GBK"/>
                <w:b/>
                <w:color w:val="auto"/>
                <w:kern w:val="0"/>
                <w:sz w:val="18"/>
                <w:szCs w:val="18"/>
              </w:rPr>
            </w:pPr>
          </w:p>
        </w:tc>
        <w:tc>
          <w:tcPr>
            <w:tcW w:w="1478" w:type="dxa"/>
          </w:tcPr>
          <w:p w14:paraId="0EDD4BD9">
            <w:pPr>
              <w:widowControl/>
              <w:adjustRightInd w:val="0"/>
              <w:snapToGrid w:val="0"/>
              <w:jc w:val="center"/>
              <w:rPr>
                <w:rFonts w:hint="eastAsia" w:ascii="方正仿宋_GBK" w:hAnsi="方正仿宋_GBK" w:eastAsia="方正仿宋_GBK" w:cs="方正仿宋_GBK"/>
                <w:b/>
                <w:color w:val="auto"/>
                <w:kern w:val="0"/>
                <w:sz w:val="18"/>
                <w:szCs w:val="18"/>
              </w:rPr>
            </w:pPr>
            <w:r>
              <w:rPr>
                <w:rFonts w:hint="eastAsia" w:ascii="方正仿宋_GBK" w:hAnsi="方正仿宋_GBK" w:eastAsia="方正仿宋_GBK" w:cs="方正仿宋_GBK"/>
                <w:b/>
                <w:color w:val="auto"/>
                <w:kern w:val="0"/>
                <w:sz w:val="18"/>
                <w:szCs w:val="18"/>
              </w:rPr>
              <w:t>符合</w:t>
            </w:r>
          </w:p>
        </w:tc>
        <w:tc>
          <w:tcPr>
            <w:tcW w:w="1329" w:type="dxa"/>
          </w:tcPr>
          <w:p w14:paraId="7037920D">
            <w:pPr>
              <w:widowControl/>
              <w:adjustRightInd w:val="0"/>
              <w:snapToGrid w:val="0"/>
              <w:jc w:val="center"/>
              <w:rPr>
                <w:rFonts w:hint="eastAsia" w:ascii="方正仿宋_GBK" w:hAnsi="方正仿宋_GBK" w:eastAsia="方正仿宋_GBK" w:cs="方正仿宋_GBK"/>
                <w:b/>
                <w:color w:val="auto"/>
                <w:kern w:val="0"/>
                <w:sz w:val="18"/>
                <w:szCs w:val="18"/>
              </w:rPr>
            </w:pPr>
            <w:r>
              <w:rPr>
                <w:rFonts w:hint="eastAsia" w:ascii="方正仿宋_GBK" w:hAnsi="方正仿宋_GBK" w:eastAsia="方正仿宋_GBK" w:cs="方正仿宋_GBK"/>
                <w:b/>
                <w:color w:val="auto"/>
                <w:kern w:val="0"/>
                <w:sz w:val="18"/>
                <w:szCs w:val="18"/>
              </w:rPr>
              <w:t>基本符合</w:t>
            </w:r>
          </w:p>
        </w:tc>
        <w:tc>
          <w:tcPr>
            <w:tcW w:w="1332" w:type="dxa"/>
          </w:tcPr>
          <w:p w14:paraId="44CB3B4E">
            <w:pPr>
              <w:widowControl/>
              <w:adjustRightInd w:val="0"/>
              <w:snapToGrid w:val="0"/>
              <w:jc w:val="center"/>
              <w:rPr>
                <w:rFonts w:hint="eastAsia" w:ascii="方正仿宋_GBK" w:hAnsi="方正仿宋_GBK" w:eastAsia="方正仿宋_GBK" w:cs="方正仿宋_GBK"/>
                <w:b/>
                <w:color w:val="auto"/>
                <w:kern w:val="0"/>
                <w:sz w:val="18"/>
                <w:szCs w:val="18"/>
              </w:rPr>
            </w:pPr>
            <w:r>
              <w:rPr>
                <w:rFonts w:hint="eastAsia" w:ascii="方正仿宋_GBK" w:hAnsi="方正仿宋_GBK" w:eastAsia="方正仿宋_GBK" w:cs="方正仿宋_GBK"/>
                <w:b/>
                <w:color w:val="auto"/>
                <w:kern w:val="0"/>
                <w:sz w:val="18"/>
                <w:szCs w:val="18"/>
              </w:rPr>
              <w:t>不符合</w:t>
            </w:r>
          </w:p>
        </w:tc>
        <w:tc>
          <w:tcPr>
            <w:tcW w:w="1038" w:type="dxa"/>
          </w:tcPr>
          <w:p w14:paraId="6B362B41">
            <w:pPr>
              <w:widowControl/>
              <w:adjustRightInd w:val="0"/>
              <w:snapToGrid w:val="0"/>
              <w:jc w:val="center"/>
              <w:rPr>
                <w:rFonts w:hint="eastAsia" w:ascii="方正仿宋_GBK" w:hAnsi="方正仿宋_GBK" w:eastAsia="方正仿宋_GBK" w:cs="方正仿宋_GBK"/>
                <w:b/>
                <w:color w:val="auto"/>
                <w:kern w:val="0"/>
                <w:sz w:val="18"/>
                <w:szCs w:val="18"/>
              </w:rPr>
            </w:pPr>
            <w:r>
              <w:rPr>
                <w:rFonts w:hint="eastAsia" w:ascii="方正仿宋_GBK" w:hAnsi="方正仿宋_GBK" w:eastAsia="方正仿宋_GBK" w:cs="方正仿宋_GBK"/>
                <w:b/>
                <w:color w:val="auto"/>
                <w:kern w:val="0"/>
                <w:sz w:val="18"/>
                <w:szCs w:val="18"/>
              </w:rPr>
              <w:t>合理缺项</w:t>
            </w:r>
          </w:p>
        </w:tc>
        <w:tc>
          <w:tcPr>
            <w:tcW w:w="442" w:type="dxa"/>
            <w:vMerge w:val="continue"/>
            <w:vAlign w:val="center"/>
          </w:tcPr>
          <w:p w14:paraId="1FEE7CF8">
            <w:pPr>
              <w:widowControl/>
              <w:adjustRightInd w:val="0"/>
              <w:snapToGrid w:val="0"/>
              <w:jc w:val="center"/>
              <w:rPr>
                <w:rFonts w:hint="eastAsia" w:ascii="方正仿宋_GBK" w:hAnsi="方正仿宋_GBK" w:eastAsia="方正仿宋_GBK" w:cs="方正仿宋_GBK"/>
                <w:b/>
                <w:color w:val="auto"/>
                <w:kern w:val="0"/>
                <w:sz w:val="18"/>
                <w:szCs w:val="18"/>
              </w:rPr>
            </w:pPr>
          </w:p>
        </w:tc>
        <w:tc>
          <w:tcPr>
            <w:tcW w:w="1035" w:type="dxa"/>
            <w:vMerge w:val="continue"/>
            <w:vAlign w:val="center"/>
          </w:tcPr>
          <w:p w14:paraId="64636465">
            <w:pPr>
              <w:widowControl/>
              <w:adjustRightInd w:val="0"/>
              <w:snapToGrid w:val="0"/>
              <w:jc w:val="left"/>
              <w:rPr>
                <w:rFonts w:hint="eastAsia" w:ascii="方正仿宋_GBK" w:hAnsi="方正仿宋_GBK" w:eastAsia="方正仿宋_GBK" w:cs="方正仿宋_GBK"/>
                <w:b/>
                <w:color w:val="auto"/>
                <w:kern w:val="0"/>
                <w:sz w:val="18"/>
                <w:szCs w:val="18"/>
              </w:rPr>
            </w:pPr>
          </w:p>
        </w:tc>
        <w:tc>
          <w:tcPr>
            <w:tcW w:w="395" w:type="dxa"/>
            <w:vMerge w:val="continue"/>
            <w:vAlign w:val="center"/>
          </w:tcPr>
          <w:p w14:paraId="3673599C">
            <w:pPr>
              <w:widowControl/>
              <w:adjustRightInd w:val="0"/>
              <w:snapToGrid w:val="0"/>
              <w:jc w:val="center"/>
              <w:rPr>
                <w:rFonts w:hint="eastAsia" w:ascii="方正仿宋_GBK" w:hAnsi="方正仿宋_GBK" w:eastAsia="方正仿宋_GBK" w:cs="方正仿宋_GBK"/>
                <w:b/>
                <w:color w:val="auto"/>
                <w:kern w:val="0"/>
                <w:sz w:val="18"/>
                <w:szCs w:val="18"/>
              </w:rPr>
            </w:pPr>
          </w:p>
        </w:tc>
      </w:tr>
      <w:tr w14:paraId="3DE80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74" w:type="dxa"/>
            <w:vMerge w:val="restart"/>
            <w:vAlign w:val="center"/>
          </w:tcPr>
          <w:p w14:paraId="0AF3D151">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一、职业病防治管理措施</w:t>
            </w:r>
          </w:p>
        </w:tc>
        <w:tc>
          <w:tcPr>
            <w:tcW w:w="861" w:type="dxa"/>
            <w:vAlign w:val="center"/>
          </w:tcPr>
          <w:p w14:paraId="47E7FA98">
            <w:pPr>
              <w:numPr>
                <w:ilvl w:val="0"/>
                <w:numId w:val="1"/>
              </w:numPr>
              <w:tabs>
                <w:tab w:val="left" w:pos="253"/>
              </w:tabs>
              <w:adjustRightInd w:val="0"/>
              <w:snapToGrid w:val="0"/>
              <w:ind w:left="0" w:firstLine="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sz w:val="18"/>
                <w:szCs w:val="18"/>
              </w:rPr>
              <w:t>制度和操作规程</w:t>
            </w:r>
          </w:p>
        </w:tc>
        <w:tc>
          <w:tcPr>
            <w:tcW w:w="3337" w:type="dxa"/>
            <w:vAlign w:val="center"/>
          </w:tcPr>
          <w:p w14:paraId="1FD3E78E">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sz w:val="18"/>
                <w:szCs w:val="18"/>
              </w:rPr>
              <w:t>建立健全职业卫生管理制度和操作规程，内容包括职业病危害防治责任、警示与告知、职业病危害项目申报、职业病防治宣传教育培训、职业病防护设施维护检修、职业病防护用品管理、职业病危害监测及评价管理、建设项目职业病防护设施“三同时”管理、劳动者职业健康监护及其档案管理、职业病危害事故处置与报告、职业病危害应急救援与管理、岗位职业卫生操作规程等。</w:t>
            </w:r>
          </w:p>
        </w:tc>
        <w:tc>
          <w:tcPr>
            <w:tcW w:w="2071" w:type="dxa"/>
            <w:vAlign w:val="center"/>
          </w:tcPr>
          <w:p w14:paraId="3684BCF8">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sz w:val="18"/>
                <w:szCs w:val="18"/>
              </w:rPr>
              <w:t>查阅制度、操作规程等文件，制度应明确责任部门和管理要求，且符合自身特点，满足管理要求</w:t>
            </w:r>
          </w:p>
        </w:tc>
        <w:tc>
          <w:tcPr>
            <w:tcW w:w="1478" w:type="dxa"/>
            <w:vAlign w:val="center"/>
          </w:tcPr>
          <w:p w14:paraId="282E395F">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制度齐全；职责清晰；符合单位自身特点，具有可操作性</w:t>
            </w:r>
          </w:p>
        </w:tc>
        <w:tc>
          <w:tcPr>
            <w:tcW w:w="1329" w:type="dxa"/>
            <w:vAlign w:val="center"/>
          </w:tcPr>
          <w:p w14:paraId="6EEB9ADE">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制度基本齐全(缺少1～3项)；职责较清晰；具有一定的可操作性</w:t>
            </w:r>
          </w:p>
        </w:tc>
        <w:tc>
          <w:tcPr>
            <w:tcW w:w="1332" w:type="dxa"/>
            <w:vAlign w:val="center"/>
          </w:tcPr>
          <w:p w14:paraId="77D1BF08">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制度不齐全(缺少4项及以上)；或职责不清晰，或不具有可操作性</w:t>
            </w:r>
          </w:p>
        </w:tc>
        <w:tc>
          <w:tcPr>
            <w:tcW w:w="1038" w:type="dxa"/>
            <w:vAlign w:val="center"/>
          </w:tcPr>
          <w:p w14:paraId="0E4D66EB">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42" w:type="dxa"/>
            <w:vAlign w:val="center"/>
          </w:tcPr>
          <w:p w14:paraId="1EA19D8B">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10</w:t>
            </w:r>
          </w:p>
        </w:tc>
        <w:tc>
          <w:tcPr>
            <w:tcW w:w="1035" w:type="dxa"/>
            <w:vAlign w:val="center"/>
          </w:tcPr>
          <w:p w14:paraId="37835AB4">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5F3AD8EF">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□基本符合</w:t>
            </w:r>
          </w:p>
          <w:p w14:paraId="75366ED3">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95" w:type="dxa"/>
            <w:vAlign w:val="center"/>
          </w:tcPr>
          <w:p w14:paraId="3476CA38">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7903F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16" w:hRule="atLeast"/>
        </w:trPr>
        <w:tc>
          <w:tcPr>
            <w:tcW w:w="674" w:type="dxa"/>
            <w:vMerge w:val="continue"/>
            <w:vAlign w:val="center"/>
          </w:tcPr>
          <w:p w14:paraId="4B68EB91">
            <w:pPr>
              <w:widowControl/>
              <w:adjustRightInd w:val="0"/>
              <w:snapToGrid w:val="0"/>
              <w:rPr>
                <w:rFonts w:hint="eastAsia" w:ascii="方正仿宋_GBK" w:hAnsi="方正仿宋_GBK" w:eastAsia="方正仿宋_GBK" w:cs="方正仿宋_GBK"/>
                <w:color w:val="auto"/>
                <w:kern w:val="0"/>
                <w:sz w:val="18"/>
                <w:szCs w:val="18"/>
              </w:rPr>
            </w:pPr>
          </w:p>
        </w:tc>
        <w:tc>
          <w:tcPr>
            <w:tcW w:w="861" w:type="dxa"/>
            <w:vAlign w:val="center"/>
          </w:tcPr>
          <w:p w14:paraId="3B6B720C">
            <w:pPr>
              <w:numPr>
                <w:ilvl w:val="0"/>
                <w:numId w:val="1"/>
              </w:numPr>
              <w:tabs>
                <w:tab w:val="left" w:pos="253"/>
              </w:tabs>
              <w:adjustRightInd w:val="0"/>
              <w:snapToGrid w:val="0"/>
              <w:ind w:left="0" w:firstLine="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管理机构和人员</w:t>
            </w:r>
          </w:p>
        </w:tc>
        <w:tc>
          <w:tcPr>
            <w:tcW w:w="3337" w:type="dxa"/>
            <w:vAlign w:val="center"/>
          </w:tcPr>
          <w:p w14:paraId="70382E98">
            <w:pPr>
              <w:widowControl/>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配备专职或者兼职职业卫生管理人员。职业病危害严重的企业应配备专职职业卫生管理人员；其他存在职业病危害的用人单位应当配备专职或者兼职职业卫生管理人员。</w:t>
            </w:r>
          </w:p>
        </w:tc>
        <w:tc>
          <w:tcPr>
            <w:tcW w:w="2071" w:type="dxa"/>
            <w:vAlign w:val="center"/>
          </w:tcPr>
          <w:p w14:paraId="002B0E76">
            <w:pPr>
              <w:widowControl/>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查阅相关文件，文件应明确设置或指定职业卫生管理机构或者组织，并检查机构或组织工作开展情况；查阅管理人员任命文件，并核实管理人员的工作情况</w:t>
            </w:r>
          </w:p>
        </w:tc>
        <w:tc>
          <w:tcPr>
            <w:tcW w:w="1478" w:type="dxa"/>
            <w:vAlign w:val="center"/>
          </w:tcPr>
          <w:p w14:paraId="40429A57">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有职业卫生管理机构成立文件和管理人员任命文件，职责清晰，且能够按职责分工开展工作</w:t>
            </w:r>
          </w:p>
        </w:tc>
        <w:tc>
          <w:tcPr>
            <w:tcW w:w="1329" w:type="dxa"/>
            <w:vAlign w:val="center"/>
          </w:tcPr>
          <w:p w14:paraId="7C7645C1">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有职业卫生管理机构成立文件和管理人员任命文件，职责较清晰，基本能够按职责分工开展工作</w:t>
            </w:r>
          </w:p>
        </w:tc>
        <w:tc>
          <w:tcPr>
            <w:tcW w:w="1332" w:type="dxa"/>
            <w:vAlign w:val="center"/>
          </w:tcPr>
          <w:p w14:paraId="7C1037E4">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无职业卫生管理机构成立文件或管理人员任命文件；或职责不清晰，未履行相关职责</w:t>
            </w:r>
          </w:p>
        </w:tc>
        <w:tc>
          <w:tcPr>
            <w:tcW w:w="1038" w:type="dxa"/>
            <w:vAlign w:val="center"/>
          </w:tcPr>
          <w:p w14:paraId="64A3B356">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42" w:type="dxa"/>
            <w:vAlign w:val="center"/>
          </w:tcPr>
          <w:p w14:paraId="2C9D85AC">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10</w:t>
            </w:r>
          </w:p>
        </w:tc>
        <w:tc>
          <w:tcPr>
            <w:tcW w:w="1035" w:type="dxa"/>
            <w:vAlign w:val="center"/>
          </w:tcPr>
          <w:p w14:paraId="635CEE55">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32CC14BA">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□基本符合</w:t>
            </w:r>
          </w:p>
          <w:p w14:paraId="06BFCD2A">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95" w:type="dxa"/>
            <w:vAlign w:val="center"/>
          </w:tcPr>
          <w:p w14:paraId="043F618C">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29980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94" w:hRule="atLeast"/>
        </w:trPr>
        <w:tc>
          <w:tcPr>
            <w:tcW w:w="674" w:type="dxa"/>
            <w:vMerge w:val="continue"/>
            <w:vAlign w:val="center"/>
          </w:tcPr>
          <w:p w14:paraId="022D4733">
            <w:pPr>
              <w:widowControl/>
              <w:adjustRightInd w:val="0"/>
              <w:snapToGrid w:val="0"/>
              <w:rPr>
                <w:rFonts w:hint="eastAsia" w:ascii="方正仿宋_GBK" w:hAnsi="方正仿宋_GBK" w:eastAsia="方正仿宋_GBK" w:cs="方正仿宋_GBK"/>
                <w:color w:val="auto"/>
                <w:kern w:val="0"/>
                <w:sz w:val="18"/>
                <w:szCs w:val="18"/>
              </w:rPr>
            </w:pPr>
          </w:p>
        </w:tc>
        <w:tc>
          <w:tcPr>
            <w:tcW w:w="861" w:type="dxa"/>
            <w:vAlign w:val="center"/>
          </w:tcPr>
          <w:p w14:paraId="216DE1BA">
            <w:pPr>
              <w:numPr>
                <w:ilvl w:val="0"/>
                <w:numId w:val="1"/>
              </w:numPr>
              <w:tabs>
                <w:tab w:val="left" w:pos="253"/>
              </w:tabs>
              <w:adjustRightInd w:val="0"/>
              <w:snapToGrid w:val="0"/>
              <w:ind w:left="0" w:firstLine="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职业卫生档案</w:t>
            </w:r>
          </w:p>
        </w:tc>
        <w:tc>
          <w:tcPr>
            <w:tcW w:w="3337" w:type="dxa"/>
            <w:vAlign w:val="center"/>
          </w:tcPr>
          <w:p w14:paraId="15F78BCD">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建立健全职业卫生档案和劳动者健康监护档案，包括建设项目职业病防护设施“三同时”档案；职业卫生管理档案；职业卫生宣传培训档案；职业病危害因素监测与检测评价档案；用人单位职业健康监护管理档案；劳动者个人职业健康监护档案等</w:t>
            </w:r>
          </w:p>
        </w:tc>
        <w:tc>
          <w:tcPr>
            <w:tcW w:w="2071" w:type="dxa"/>
            <w:vAlign w:val="center"/>
          </w:tcPr>
          <w:p w14:paraId="70982B60">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检查档案内容的完整性和符合性</w:t>
            </w:r>
          </w:p>
        </w:tc>
        <w:tc>
          <w:tcPr>
            <w:tcW w:w="1478" w:type="dxa"/>
            <w:vAlign w:val="center"/>
          </w:tcPr>
          <w:p w14:paraId="4E6FDC53">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档案种类齐全、内容完整，符合职业卫生档案管理要求</w:t>
            </w:r>
          </w:p>
        </w:tc>
        <w:tc>
          <w:tcPr>
            <w:tcW w:w="1329" w:type="dxa"/>
            <w:vAlign w:val="center"/>
          </w:tcPr>
          <w:p w14:paraId="1BE0025B">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档案种类基本齐全(缺少1～2项)、内容基本完整，基本符合档案管理要求</w:t>
            </w:r>
          </w:p>
        </w:tc>
        <w:tc>
          <w:tcPr>
            <w:tcW w:w="1332" w:type="dxa"/>
            <w:vAlign w:val="center"/>
          </w:tcPr>
          <w:p w14:paraId="08E76252">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档案种类不齐全(缺少3项及以上)，内容缺项较多，不符合档案管理要求</w:t>
            </w:r>
          </w:p>
        </w:tc>
        <w:tc>
          <w:tcPr>
            <w:tcW w:w="1038" w:type="dxa"/>
            <w:vAlign w:val="center"/>
          </w:tcPr>
          <w:p w14:paraId="5D56EB33">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42" w:type="dxa"/>
            <w:vAlign w:val="center"/>
          </w:tcPr>
          <w:p w14:paraId="58447B4B">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10</w:t>
            </w:r>
          </w:p>
        </w:tc>
        <w:tc>
          <w:tcPr>
            <w:tcW w:w="1035" w:type="dxa"/>
            <w:vAlign w:val="center"/>
          </w:tcPr>
          <w:p w14:paraId="394CC7DB">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78C6F276">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□基本符合</w:t>
            </w:r>
          </w:p>
          <w:p w14:paraId="763598CE">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95" w:type="dxa"/>
            <w:vAlign w:val="center"/>
          </w:tcPr>
          <w:p w14:paraId="4CF1A258">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77D6A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83" w:hRule="atLeast"/>
        </w:trPr>
        <w:tc>
          <w:tcPr>
            <w:tcW w:w="674" w:type="dxa"/>
            <w:vAlign w:val="center"/>
          </w:tcPr>
          <w:p w14:paraId="63DFE6BE">
            <w:pPr>
              <w:tabs>
                <w:tab w:val="left" w:pos="253"/>
              </w:tabs>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sz w:val="18"/>
                <w:szCs w:val="18"/>
              </w:rPr>
              <w:t>二、职业病危害项目申报</w:t>
            </w:r>
          </w:p>
        </w:tc>
        <w:tc>
          <w:tcPr>
            <w:tcW w:w="861" w:type="dxa"/>
            <w:vAlign w:val="center"/>
          </w:tcPr>
          <w:p w14:paraId="41091215">
            <w:pPr>
              <w:numPr>
                <w:ilvl w:val="0"/>
                <w:numId w:val="1"/>
              </w:numPr>
              <w:tabs>
                <w:tab w:val="left" w:pos="253"/>
              </w:tabs>
              <w:adjustRightInd w:val="0"/>
              <w:snapToGrid w:val="0"/>
              <w:ind w:left="0" w:firstLine="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职业病危害项目申报</w:t>
            </w:r>
          </w:p>
        </w:tc>
        <w:tc>
          <w:tcPr>
            <w:tcW w:w="3337" w:type="dxa"/>
            <w:vAlign w:val="center"/>
          </w:tcPr>
          <w:p w14:paraId="0BF1F872">
            <w:pPr>
              <w:widowControl/>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(1)工作场所存在职业病目录所列职业病的危害因素的，应当及时、如实向所在地卫生健康主管部门申报危害项目，接受监督。</w:t>
            </w:r>
          </w:p>
          <w:p w14:paraId="4FE09BA7">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sz w:val="18"/>
                <w:szCs w:val="18"/>
              </w:rPr>
              <w:t>(2)用人单位发生新、改、扩建、技术改造及其他重大变化时，及时进行变更申报。</w:t>
            </w:r>
          </w:p>
        </w:tc>
        <w:tc>
          <w:tcPr>
            <w:tcW w:w="2071" w:type="dxa"/>
            <w:vAlign w:val="center"/>
          </w:tcPr>
          <w:p w14:paraId="1E9C847F">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查看申报回执或查询申报系统；查看申报内容与实际是否相符</w:t>
            </w:r>
          </w:p>
        </w:tc>
        <w:tc>
          <w:tcPr>
            <w:tcW w:w="1478" w:type="dxa"/>
            <w:vAlign w:val="center"/>
          </w:tcPr>
          <w:p w14:paraId="59F02A6F">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按要求进行申报或变更申报，申报内容与实际相符</w:t>
            </w:r>
          </w:p>
        </w:tc>
        <w:tc>
          <w:tcPr>
            <w:tcW w:w="1329" w:type="dxa"/>
            <w:vAlign w:val="center"/>
          </w:tcPr>
          <w:p w14:paraId="0E0EA05A">
            <w:pPr>
              <w:adjustRightInd w:val="0"/>
              <w:snapToGrid w:val="0"/>
              <w:jc w:val="center"/>
              <w:rPr>
                <w:rFonts w:hint="eastAsia" w:ascii="方正仿宋_GBK" w:hAnsi="方正仿宋_GBK" w:eastAsia="方正仿宋_GBK" w:cs="方正仿宋_GBK"/>
                <w:color w:val="auto"/>
                <w:sz w:val="18"/>
                <w:szCs w:val="18"/>
                <w:lang w:val="en"/>
              </w:rPr>
            </w:pPr>
            <w:r>
              <w:rPr>
                <w:rFonts w:hint="eastAsia" w:ascii="方正仿宋_GBK" w:hAnsi="方正仿宋_GBK" w:eastAsia="方正仿宋_GBK" w:cs="方正仿宋_GBK"/>
                <w:color w:val="auto"/>
                <w:kern w:val="0"/>
                <w:sz w:val="18"/>
                <w:szCs w:val="18"/>
                <w:lang w:val="en"/>
              </w:rPr>
              <w:t>-</w:t>
            </w:r>
          </w:p>
        </w:tc>
        <w:tc>
          <w:tcPr>
            <w:tcW w:w="1332" w:type="dxa"/>
            <w:vAlign w:val="center"/>
          </w:tcPr>
          <w:p w14:paraId="27537B61">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未按要求进行申报或变更申报；或申报内容与实际严重不符</w:t>
            </w:r>
          </w:p>
        </w:tc>
        <w:tc>
          <w:tcPr>
            <w:tcW w:w="1038" w:type="dxa"/>
            <w:vAlign w:val="center"/>
          </w:tcPr>
          <w:p w14:paraId="49DD40F5">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42" w:type="dxa"/>
            <w:vAlign w:val="center"/>
          </w:tcPr>
          <w:p w14:paraId="7809E1AE">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w:t>
            </w:r>
          </w:p>
        </w:tc>
        <w:tc>
          <w:tcPr>
            <w:tcW w:w="1035" w:type="dxa"/>
            <w:vAlign w:val="center"/>
          </w:tcPr>
          <w:p w14:paraId="483D58C4">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12C7E3F6">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95" w:type="dxa"/>
            <w:vAlign w:val="center"/>
          </w:tcPr>
          <w:p w14:paraId="10FAA297">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08D61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93" w:hRule="atLeast"/>
        </w:trPr>
        <w:tc>
          <w:tcPr>
            <w:tcW w:w="674" w:type="dxa"/>
            <w:vAlign w:val="center"/>
          </w:tcPr>
          <w:p w14:paraId="2ED1827A">
            <w:pPr>
              <w:tabs>
                <w:tab w:val="left" w:pos="253"/>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三、建设项目职业病防护设施“三同时”</w:t>
            </w:r>
          </w:p>
        </w:tc>
        <w:tc>
          <w:tcPr>
            <w:tcW w:w="861" w:type="dxa"/>
            <w:vAlign w:val="center"/>
          </w:tcPr>
          <w:p w14:paraId="502F7D2C">
            <w:pPr>
              <w:numPr>
                <w:ilvl w:val="0"/>
                <w:numId w:val="1"/>
              </w:numPr>
              <w:tabs>
                <w:tab w:val="left" w:pos="253"/>
              </w:tabs>
              <w:adjustRightInd w:val="0"/>
              <w:snapToGrid w:val="0"/>
              <w:ind w:left="0" w:firstLine="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职业病防护设施“三同时”</w:t>
            </w:r>
          </w:p>
        </w:tc>
        <w:tc>
          <w:tcPr>
            <w:tcW w:w="3337" w:type="dxa"/>
            <w:vAlign w:val="center"/>
          </w:tcPr>
          <w:p w14:paraId="38A4A2A7">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对于新建、改建、扩建建设项目和技术改造、技术引进项目，建设单位要依法开展职业病危害预评价、职业病防护设施设计、职业病危害控制效果评价与防护设施验收等工作</w:t>
            </w:r>
            <w:r>
              <w:rPr>
                <w:rFonts w:hint="eastAsia" w:ascii="方正仿宋_GBK" w:hAnsi="方正仿宋_GBK" w:eastAsia="方正仿宋_GBK" w:cs="方正仿宋_GBK"/>
                <w:color w:val="auto"/>
                <w:kern w:val="0"/>
                <w:sz w:val="18"/>
                <w:szCs w:val="18"/>
              </w:rPr>
              <w:t>，并形成工作过程报告</w:t>
            </w:r>
            <w:r>
              <w:rPr>
                <w:rFonts w:hint="eastAsia" w:ascii="方正仿宋_GBK" w:hAnsi="方正仿宋_GBK" w:eastAsia="方正仿宋_GBK" w:cs="方正仿宋_GBK"/>
                <w:color w:val="auto"/>
                <w:sz w:val="18"/>
                <w:szCs w:val="18"/>
              </w:rPr>
              <w:t>。</w:t>
            </w:r>
          </w:p>
        </w:tc>
        <w:tc>
          <w:tcPr>
            <w:tcW w:w="2071" w:type="dxa"/>
            <w:vAlign w:val="center"/>
          </w:tcPr>
          <w:p w14:paraId="731ADF22">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查阅近3年建设项目清单，查看评价报告、评审材料及工作过程书面报告等</w:t>
            </w:r>
          </w:p>
        </w:tc>
        <w:tc>
          <w:tcPr>
            <w:tcW w:w="1478" w:type="dxa"/>
            <w:vAlign w:val="center"/>
          </w:tcPr>
          <w:p w14:paraId="396E0D05">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按要求编制职业病危害预评价报告、防护设施设计、控制效果评价报告及验收，评审、工作过程报告等符合要求</w:t>
            </w:r>
          </w:p>
        </w:tc>
        <w:tc>
          <w:tcPr>
            <w:tcW w:w="1329" w:type="dxa"/>
            <w:vAlign w:val="center"/>
          </w:tcPr>
          <w:p w14:paraId="1E5EF9D9">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未完全按要求开展职业病防护设施“三同时”工作；或评审、工作过程报告等基本符合要求</w:t>
            </w:r>
          </w:p>
        </w:tc>
        <w:tc>
          <w:tcPr>
            <w:tcW w:w="1332" w:type="dxa"/>
            <w:vAlign w:val="center"/>
          </w:tcPr>
          <w:p w14:paraId="49ADDD8A">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未按要求编制预评价报告、防护设施设计、控制效果评价报告及验收；或评审、工作过程报告等不符合要求</w:t>
            </w:r>
          </w:p>
        </w:tc>
        <w:tc>
          <w:tcPr>
            <w:tcW w:w="1038" w:type="dxa"/>
            <w:vAlign w:val="center"/>
          </w:tcPr>
          <w:p w14:paraId="4F1BB5AF">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近3年不涉及建设项目</w:t>
            </w:r>
          </w:p>
        </w:tc>
        <w:tc>
          <w:tcPr>
            <w:tcW w:w="442" w:type="dxa"/>
            <w:vAlign w:val="center"/>
          </w:tcPr>
          <w:p w14:paraId="596EDE0A">
            <w:pPr>
              <w:adjustRightInd w:val="0"/>
              <w:snapToGrid w:val="0"/>
              <w:jc w:val="center"/>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20</w:t>
            </w:r>
          </w:p>
        </w:tc>
        <w:tc>
          <w:tcPr>
            <w:tcW w:w="1035" w:type="dxa"/>
            <w:vAlign w:val="center"/>
          </w:tcPr>
          <w:p w14:paraId="25A4759F">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06897435">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□基本符合</w:t>
            </w:r>
          </w:p>
          <w:p w14:paraId="3248328B">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p w14:paraId="0E2D45AC">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□合理缺项</w:t>
            </w:r>
          </w:p>
        </w:tc>
        <w:tc>
          <w:tcPr>
            <w:tcW w:w="395" w:type="dxa"/>
            <w:vAlign w:val="center"/>
          </w:tcPr>
          <w:p w14:paraId="3CCC377F">
            <w:pPr>
              <w:adjustRightInd w:val="0"/>
              <w:snapToGrid w:val="0"/>
              <w:jc w:val="center"/>
              <w:rPr>
                <w:rFonts w:hint="eastAsia" w:ascii="方正仿宋_GBK" w:hAnsi="方正仿宋_GBK" w:eastAsia="方正仿宋_GBK" w:cs="方正仿宋_GBK"/>
                <w:color w:val="auto"/>
                <w:sz w:val="18"/>
                <w:szCs w:val="18"/>
              </w:rPr>
            </w:pPr>
          </w:p>
        </w:tc>
      </w:tr>
      <w:tr w14:paraId="7443D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28" w:hRule="atLeast"/>
        </w:trPr>
        <w:tc>
          <w:tcPr>
            <w:tcW w:w="674" w:type="dxa"/>
            <w:vMerge w:val="restart"/>
            <w:vAlign w:val="center"/>
          </w:tcPr>
          <w:p w14:paraId="573B762F">
            <w:pPr>
              <w:tabs>
                <w:tab w:val="left" w:pos="253"/>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kern w:val="0"/>
                <w:sz w:val="18"/>
                <w:szCs w:val="18"/>
              </w:rPr>
              <w:t>四、工作场所职业卫生条件</w:t>
            </w:r>
          </w:p>
        </w:tc>
        <w:tc>
          <w:tcPr>
            <w:tcW w:w="861" w:type="dxa"/>
            <w:shd w:val="clear" w:color="auto" w:fill="auto"/>
            <w:vAlign w:val="center"/>
          </w:tcPr>
          <w:p w14:paraId="590459BD">
            <w:pPr>
              <w:numPr>
                <w:ilvl w:val="0"/>
                <w:numId w:val="1"/>
              </w:numPr>
              <w:tabs>
                <w:tab w:val="left" w:pos="320"/>
              </w:tabs>
              <w:adjustRightInd w:val="0"/>
              <w:snapToGrid w:val="0"/>
              <w:ind w:left="0" w:firstLine="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明令禁止的设备和材料</w:t>
            </w:r>
          </w:p>
        </w:tc>
        <w:tc>
          <w:tcPr>
            <w:tcW w:w="3337" w:type="dxa"/>
            <w:shd w:val="clear" w:color="auto" w:fill="auto"/>
            <w:vAlign w:val="center"/>
          </w:tcPr>
          <w:p w14:paraId="1D527DBC">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不得生产、经营、进口、使用国家明令禁止使用的可能产生职业病危害的设备和材料。</w:t>
            </w:r>
          </w:p>
        </w:tc>
        <w:tc>
          <w:tcPr>
            <w:tcW w:w="2071" w:type="dxa"/>
            <w:shd w:val="clear" w:color="auto" w:fill="auto"/>
            <w:vAlign w:val="center"/>
          </w:tcPr>
          <w:p w14:paraId="6D7B4F81">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查阅最新国家产业政策文件</w:t>
            </w:r>
            <w:r>
              <w:rPr>
                <w:rFonts w:hint="eastAsia" w:ascii="方正仿宋_GBK" w:hAnsi="方正仿宋_GBK" w:eastAsia="方正仿宋_GBK" w:cs="方正仿宋_GBK"/>
                <w:color w:val="auto"/>
                <w:sz w:val="18"/>
                <w:szCs w:val="18"/>
              </w:rPr>
              <w:t>（可参考《推广先进与淘汰落后安全技术装备目录》《淘汰落后安全技术装备目录》《产业结构调整指导目录》</w:t>
            </w:r>
            <w:r>
              <w:rPr>
                <w:rFonts w:hint="eastAsia" w:ascii="方正仿宋_GBK" w:hAnsi="方正仿宋_GBK" w:eastAsia="方正仿宋_GBK" w:cs="方正仿宋_GBK"/>
                <w:color w:val="auto"/>
                <w:kern w:val="0"/>
                <w:sz w:val="18"/>
                <w:szCs w:val="18"/>
              </w:rPr>
              <w:t>和工信部相关行业准入条件</w:t>
            </w:r>
          </w:p>
        </w:tc>
        <w:tc>
          <w:tcPr>
            <w:tcW w:w="1478" w:type="dxa"/>
            <w:shd w:val="clear" w:color="auto" w:fill="auto"/>
            <w:vAlign w:val="center"/>
          </w:tcPr>
          <w:p w14:paraId="11F6C3C1">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未生产、经营、进口和使用国家明令禁止使用的可能产生职业病危害的设备或者材料</w:t>
            </w:r>
          </w:p>
        </w:tc>
        <w:tc>
          <w:tcPr>
            <w:tcW w:w="1329" w:type="dxa"/>
            <w:shd w:val="clear" w:color="auto" w:fill="auto"/>
            <w:vAlign w:val="center"/>
          </w:tcPr>
          <w:p w14:paraId="653D0F2C">
            <w:pPr>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1332" w:type="dxa"/>
            <w:shd w:val="clear" w:color="auto" w:fill="auto"/>
            <w:vAlign w:val="center"/>
          </w:tcPr>
          <w:p w14:paraId="6D30CB7B">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生产、经营、进口和使用国家明令禁止使用的可能产生职业病危害的设备或者材料</w:t>
            </w:r>
          </w:p>
        </w:tc>
        <w:tc>
          <w:tcPr>
            <w:tcW w:w="1038" w:type="dxa"/>
            <w:shd w:val="clear" w:color="auto" w:fill="auto"/>
            <w:vAlign w:val="center"/>
          </w:tcPr>
          <w:p w14:paraId="348D0088">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42" w:type="dxa"/>
            <w:shd w:val="clear" w:color="auto" w:fill="auto"/>
            <w:vAlign w:val="center"/>
          </w:tcPr>
          <w:p w14:paraId="725FF390">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w:t>
            </w:r>
          </w:p>
        </w:tc>
        <w:tc>
          <w:tcPr>
            <w:tcW w:w="1035" w:type="dxa"/>
            <w:shd w:val="clear" w:color="auto" w:fill="auto"/>
            <w:vAlign w:val="center"/>
          </w:tcPr>
          <w:p w14:paraId="73D4AA4C">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4B6D9FDD">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95" w:type="dxa"/>
            <w:vAlign w:val="center"/>
          </w:tcPr>
          <w:p w14:paraId="6FD27706">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6DA73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95" w:hRule="atLeast"/>
        </w:trPr>
        <w:tc>
          <w:tcPr>
            <w:tcW w:w="674" w:type="dxa"/>
            <w:vMerge w:val="continue"/>
            <w:vAlign w:val="center"/>
          </w:tcPr>
          <w:p w14:paraId="478DED8E">
            <w:pPr>
              <w:tabs>
                <w:tab w:val="left" w:pos="253"/>
              </w:tabs>
              <w:adjustRightInd w:val="0"/>
              <w:snapToGrid w:val="0"/>
              <w:rPr>
                <w:rFonts w:hint="eastAsia" w:ascii="方正仿宋_GBK" w:hAnsi="方正仿宋_GBK" w:eastAsia="方正仿宋_GBK" w:cs="方正仿宋_GBK"/>
                <w:color w:val="auto"/>
                <w:kern w:val="0"/>
                <w:sz w:val="18"/>
                <w:szCs w:val="18"/>
              </w:rPr>
            </w:pPr>
          </w:p>
        </w:tc>
        <w:tc>
          <w:tcPr>
            <w:tcW w:w="861" w:type="dxa"/>
            <w:shd w:val="clear" w:color="auto" w:fill="auto"/>
            <w:vAlign w:val="center"/>
          </w:tcPr>
          <w:p w14:paraId="24089FF1">
            <w:pPr>
              <w:numPr>
                <w:ilvl w:val="0"/>
                <w:numId w:val="1"/>
              </w:numPr>
              <w:tabs>
                <w:tab w:val="left" w:pos="320"/>
              </w:tabs>
              <w:adjustRightInd w:val="0"/>
              <w:snapToGrid w:val="0"/>
              <w:ind w:left="0" w:firstLine="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sz w:val="18"/>
                <w:szCs w:val="18"/>
              </w:rPr>
              <w:t>职业病危害因素浓度或强度</w:t>
            </w:r>
          </w:p>
        </w:tc>
        <w:tc>
          <w:tcPr>
            <w:tcW w:w="3337" w:type="dxa"/>
            <w:shd w:val="clear" w:color="auto" w:fill="auto"/>
            <w:vAlign w:val="center"/>
          </w:tcPr>
          <w:p w14:paraId="1C99665C">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职业病危害因素强度或者浓度符合国家职业卫生标准和行业标准的要求。</w:t>
            </w:r>
          </w:p>
        </w:tc>
        <w:tc>
          <w:tcPr>
            <w:tcW w:w="2071" w:type="dxa"/>
            <w:shd w:val="clear" w:color="auto" w:fill="auto"/>
            <w:vAlign w:val="center"/>
          </w:tcPr>
          <w:p w14:paraId="50C92F6A">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查阅检测报告(关注检测时工况与气象条件)，重点检查矽尘、石棉粉尘、高毒物品和放射性物质浓度或强度达标情况</w:t>
            </w:r>
          </w:p>
        </w:tc>
        <w:tc>
          <w:tcPr>
            <w:tcW w:w="1478" w:type="dxa"/>
            <w:shd w:val="clear" w:color="auto" w:fill="auto"/>
            <w:vAlign w:val="center"/>
          </w:tcPr>
          <w:p w14:paraId="0A741BF9">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职业病危害因素全部达标</w:t>
            </w:r>
          </w:p>
        </w:tc>
        <w:tc>
          <w:tcPr>
            <w:tcW w:w="1329" w:type="dxa"/>
            <w:shd w:val="clear" w:color="auto" w:fill="auto"/>
            <w:vAlign w:val="center"/>
          </w:tcPr>
          <w:p w14:paraId="39212B27">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严重职业病危害因素全部达标；个别其他职业病危害因素存在超标情况</w:t>
            </w:r>
          </w:p>
        </w:tc>
        <w:tc>
          <w:tcPr>
            <w:tcW w:w="1332" w:type="dxa"/>
            <w:shd w:val="clear" w:color="auto" w:fill="auto"/>
            <w:vAlign w:val="center"/>
          </w:tcPr>
          <w:p w14:paraId="172E228D">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严重职业病危害因素存在不符合；或者大部分其他因素存在超标</w:t>
            </w:r>
          </w:p>
        </w:tc>
        <w:tc>
          <w:tcPr>
            <w:tcW w:w="1038" w:type="dxa"/>
            <w:shd w:val="clear" w:color="auto" w:fill="auto"/>
            <w:vAlign w:val="center"/>
          </w:tcPr>
          <w:p w14:paraId="09C485C0">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42" w:type="dxa"/>
            <w:shd w:val="clear" w:color="auto" w:fill="auto"/>
            <w:vAlign w:val="center"/>
          </w:tcPr>
          <w:p w14:paraId="57379B2A">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20</w:t>
            </w:r>
          </w:p>
        </w:tc>
        <w:tc>
          <w:tcPr>
            <w:tcW w:w="1035" w:type="dxa"/>
            <w:shd w:val="clear" w:color="auto" w:fill="auto"/>
            <w:vAlign w:val="center"/>
          </w:tcPr>
          <w:p w14:paraId="55A251B6">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525FF1E3">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□基本符合</w:t>
            </w:r>
          </w:p>
          <w:p w14:paraId="61A3BE33">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95" w:type="dxa"/>
            <w:vAlign w:val="center"/>
          </w:tcPr>
          <w:p w14:paraId="02064215">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0C337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96" w:hRule="atLeast"/>
        </w:trPr>
        <w:tc>
          <w:tcPr>
            <w:tcW w:w="674" w:type="dxa"/>
            <w:vMerge w:val="continue"/>
            <w:vAlign w:val="center"/>
          </w:tcPr>
          <w:p w14:paraId="1BA4E5D4">
            <w:pPr>
              <w:tabs>
                <w:tab w:val="left" w:pos="253"/>
              </w:tabs>
              <w:adjustRightInd w:val="0"/>
              <w:snapToGrid w:val="0"/>
              <w:rPr>
                <w:rFonts w:hint="eastAsia" w:ascii="方正仿宋_GBK" w:hAnsi="方正仿宋_GBK" w:eastAsia="方正仿宋_GBK" w:cs="方正仿宋_GBK"/>
                <w:color w:val="auto"/>
                <w:kern w:val="0"/>
                <w:sz w:val="18"/>
                <w:szCs w:val="18"/>
              </w:rPr>
            </w:pPr>
          </w:p>
        </w:tc>
        <w:tc>
          <w:tcPr>
            <w:tcW w:w="861" w:type="dxa"/>
            <w:shd w:val="clear" w:color="auto" w:fill="auto"/>
            <w:vAlign w:val="center"/>
          </w:tcPr>
          <w:p w14:paraId="7BDAAA41">
            <w:pPr>
              <w:numPr>
                <w:ilvl w:val="0"/>
                <w:numId w:val="1"/>
              </w:numPr>
              <w:tabs>
                <w:tab w:val="left" w:pos="320"/>
              </w:tabs>
              <w:adjustRightInd w:val="0"/>
              <w:snapToGrid w:val="0"/>
              <w:ind w:left="0" w:firstLine="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sz w:val="18"/>
                <w:szCs w:val="18"/>
              </w:rPr>
              <w:t>有害和无害作业分开；工作场所与生活场所分开</w:t>
            </w:r>
          </w:p>
        </w:tc>
        <w:tc>
          <w:tcPr>
            <w:tcW w:w="3337" w:type="dxa"/>
            <w:shd w:val="clear" w:color="auto" w:fill="auto"/>
            <w:vAlign w:val="center"/>
          </w:tcPr>
          <w:p w14:paraId="18BD03D4">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生产布局合理，符合有害与无害作业分开的原则。工作场所与生活场所分开，工作场所不得住人。</w:t>
            </w:r>
          </w:p>
        </w:tc>
        <w:tc>
          <w:tcPr>
            <w:tcW w:w="2071" w:type="dxa"/>
            <w:shd w:val="clear" w:color="auto" w:fill="auto"/>
            <w:vAlign w:val="center"/>
          </w:tcPr>
          <w:p w14:paraId="1DED6579">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现场检查，主要检查接触矽尘、石棉粉尘、高毒物质岗位是否与其他岗位隔离，接触有毒有害岗位与无危害岗位是否分开布置；有毒物品和粉尘的发生源是否布置在操作岗位下风侧</w:t>
            </w:r>
          </w:p>
        </w:tc>
        <w:tc>
          <w:tcPr>
            <w:tcW w:w="1478" w:type="dxa"/>
            <w:shd w:val="clear" w:color="auto" w:fill="auto"/>
            <w:vAlign w:val="center"/>
          </w:tcPr>
          <w:p w14:paraId="7B7744DD">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有毒有害作业与无害作业分开布置，且工作场所与生活场所分开</w:t>
            </w:r>
          </w:p>
        </w:tc>
        <w:tc>
          <w:tcPr>
            <w:tcW w:w="1329" w:type="dxa"/>
            <w:shd w:val="clear" w:color="auto" w:fill="auto"/>
            <w:vAlign w:val="center"/>
          </w:tcPr>
          <w:p w14:paraId="77BFCBC9">
            <w:pPr>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1332" w:type="dxa"/>
            <w:shd w:val="clear" w:color="auto" w:fill="auto"/>
            <w:vAlign w:val="center"/>
          </w:tcPr>
          <w:p w14:paraId="06E5DB10">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有毒有害作业与无害作业未分开布置，或工作场所与生活场所未分开</w:t>
            </w:r>
          </w:p>
        </w:tc>
        <w:tc>
          <w:tcPr>
            <w:tcW w:w="1038" w:type="dxa"/>
            <w:shd w:val="clear" w:color="auto" w:fill="auto"/>
            <w:vAlign w:val="center"/>
          </w:tcPr>
          <w:p w14:paraId="3E26953C">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42" w:type="dxa"/>
            <w:shd w:val="clear" w:color="auto" w:fill="auto"/>
            <w:vAlign w:val="center"/>
          </w:tcPr>
          <w:p w14:paraId="4CEEF53A">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w:t>
            </w:r>
          </w:p>
        </w:tc>
        <w:tc>
          <w:tcPr>
            <w:tcW w:w="1035" w:type="dxa"/>
            <w:shd w:val="clear" w:color="auto" w:fill="auto"/>
            <w:vAlign w:val="center"/>
          </w:tcPr>
          <w:p w14:paraId="39B96B27">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12CF09C5">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95" w:type="dxa"/>
            <w:vAlign w:val="center"/>
          </w:tcPr>
          <w:p w14:paraId="64229217">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65F41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96" w:hRule="atLeast"/>
        </w:trPr>
        <w:tc>
          <w:tcPr>
            <w:tcW w:w="674" w:type="dxa"/>
            <w:vMerge w:val="continue"/>
            <w:vAlign w:val="center"/>
          </w:tcPr>
          <w:p w14:paraId="7AE206B4">
            <w:pPr>
              <w:tabs>
                <w:tab w:val="left" w:pos="253"/>
              </w:tabs>
              <w:adjustRightInd w:val="0"/>
              <w:snapToGrid w:val="0"/>
              <w:rPr>
                <w:rFonts w:hint="eastAsia" w:ascii="方正仿宋_GBK" w:hAnsi="方正仿宋_GBK" w:eastAsia="方正仿宋_GBK" w:cs="方正仿宋_GBK"/>
                <w:color w:val="auto"/>
                <w:sz w:val="18"/>
                <w:szCs w:val="18"/>
              </w:rPr>
            </w:pPr>
          </w:p>
        </w:tc>
        <w:tc>
          <w:tcPr>
            <w:tcW w:w="861" w:type="dxa"/>
            <w:shd w:val="clear" w:color="auto" w:fill="auto"/>
            <w:vAlign w:val="center"/>
          </w:tcPr>
          <w:p w14:paraId="44D505EC">
            <w:pPr>
              <w:numPr>
                <w:ilvl w:val="0"/>
                <w:numId w:val="1"/>
              </w:numPr>
              <w:tabs>
                <w:tab w:val="left" w:pos="320"/>
              </w:tabs>
              <w:adjustRightInd w:val="0"/>
              <w:snapToGrid w:val="0"/>
              <w:ind w:left="0" w:firstLine="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职业病危害作业转移</w:t>
            </w:r>
          </w:p>
        </w:tc>
        <w:tc>
          <w:tcPr>
            <w:tcW w:w="3337" w:type="dxa"/>
            <w:shd w:val="clear" w:color="auto" w:fill="auto"/>
            <w:vAlign w:val="center"/>
          </w:tcPr>
          <w:p w14:paraId="1F109560">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(1)不得将产生职业病危害的作业转移给不具备职业病防护条件的单位和个人。</w:t>
            </w:r>
          </w:p>
          <w:p w14:paraId="705D660F">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sz w:val="18"/>
                <w:szCs w:val="18"/>
              </w:rPr>
              <w:t>(2)不具备职业病危害防护条件的单位和个人不得接受产生职业病危害的作业。</w:t>
            </w:r>
          </w:p>
        </w:tc>
        <w:tc>
          <w:tcPr>
            <w:tcW w:w="2071" w:type="dxa"/>
            <w:shd w:val="clear" w:color="auto" w:fill="auto"/>
            <w:vAlign w:val="center"/>
          </w:tcPr>
          <w:p w14:paraId="76214868">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针对生产工艺流程外包环节和岗位</w:t>
            </w:r>
            <w:r>
              <w:rPr>
                <w:rFonts w:hint="eastAsia" w:ascii="方正仿宋_GBK" w:hAnsi="方正仿宋_GBK" w:eastAsia="方正仿宋_GBK" w:cs="方正仿宋_GBK"/>
                <w:color w:val="auto"/>
                <w:kern w:val="0"/>
                <w:sz w:val="18"/>
                <w:szCs w:val="18"/>
                <w:lang w:val="en-US" w:eastAsia="zh-CN"/>
              </w:rPr>
              <w:t>,</w:t>
            </w:r>
            <w:r>
              <w:rPr>
                <w:rFonts w:hint="eastAsia" w:ascii="方正仿宋_GBK" w:hAnsi="方正仿宋_GBK" w:eastAsia="方正仿宋_GBK" w:cs="方正仿宋_GBK"/>
                <w:color w:val="auto"/>
                <w:kern w:val="0"/>
                <w:sz w:val="18"/>
                <w:szCs w:val="18"/>
              </w:rPr>
              <w:t>查阅承包职业卫生协议书、职业病危害告知及应当采取防护措施等内容</w:t>
            </w:r>
            <w:r>
              <w:rPr>
                <w:rFonts w:hint="eastAsia" w:ascii="方正仿宋_GBK" w:hAnsi="方正仿宋_GBK" w:eastAsia="方正仿宋_GBK" w:cs="方正仿宋_GBK"/>
                <w:color w:val="auto"/>
                <w:kern w:val="0"/>
                <w:sz w:val="18"/>
                <w:szCs w:val="18"/>
                <w:lang w:val="en-US" w:eastAsia="zh-CN"/>
              </w:rPr>
              <w:t>,</w:t>
            </w:r>
            <w:r>
              <w:rPr>
                <w:rFonts w:hint="eastAsia" w:ascii="方正仿宋_GBK" w:hAnsi="方正仿宋_GBK" w:eastAsia="方正仿宋_GBK" w:cs="方正仿宋_GBK"/>
                <w:color w:val="auto"/>
                <w:kern w:val="0"/>
                <w:sz w:val="18"/>
                <w:szCs w:val="18"/>
              </w:rPr>
              <w:t>对外包作业现场检查</w:t>
            </w:r>
          </w:p>
        </w:tc>
        <w:tc>
          <w:tcPr>
            <w:tcW w:w="1478" w:type="dxa"/>
            <w:shd w:val="clear" w:color="auto" w:fill="auto"/>
            <w:vAlign w:val="center"/>
          </w:tcPr>
          <w:p w14:paraId="24E7264E">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与外包单位签订有职业卫生协议，并监督外包单位落实职业病防护措施</w:t>
            </w:r>
          </w:p>
        </w:tc>
        <w:tc>
          <w:tcPr>
            <w:tcW w:w="1329" w:type="dxa"/>
            <w:shd w:val="clear" w:color="auto" w:fill="auto"/>
            <w:vAlign w:val="center"/>
          </w:tcPr>
          <w:p w14:paraId="0344D86B">
            <w:pPr>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1332" w:type="dxa"/>
            <w:shd w:val="clear" w:color="auto" w:fill="auto"/>
            <w:vAlign w:val="center"/>
          </w:tcPr>
          <w:p w14:paraId="0C832C5F">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与外包(外协)单位无相关职业健康协议；未督促外包单位落实职业病防护措施</w:t>
            </w:r>
          </w:p>
        </w:tc>
        <w:tc>
          <w:tcPr>
            <w:tcW w:w="1038" w:type="dxa"/>
            <w:shd w:val="clear" w:color="auto" w:fill="auto"/>
            <w:vAlign w:val="center"/>
          </w:tcPr>
          <w:p w14:paraId="7C905515">
            <w:pPr>
              <w:widowControl/>
              <w:adjustRightInd w:val="0"/>
              <w:snapToGrid w:val="0"/>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rPr>
              <w:t>不涉及</w:t>
            </w:r>
            <w:r>
              <w:rPr>
                <w:rFonts w:hint="eastAsia" w:ascii="方正仿宋_GBK" w:hAnsi="方正仿宋_GBK" w:eastAsia="方正仿宋_GBK" w:cs="方正仿宋_GBK"/>
                <w:color w:val="auto"/>
                <w:sz w:val="18"/>
                <w:szCs w:val="18"/>
              </w:rPr>
              <w:t>产生职业病危害的</w:t>
            </w:r>
            <w:r>
              <w:rPr>
                <w:rFonts w:hint="eastAsia" w:ascii="方正仿宋_GBK" w:hAnsi="方正仿宋_GBK" w:eastAsia="方正仿宋_GBK" w:cs="方正仿宋_GBK"/>
                <w:color w:val="auto"/>
                <w:kern w:val="0"/>
                <w:sz w:val="18"/>
                <w:szCs w:val="18"/>
              </w:rPr>
              <w:t>外包作业</w:t>
            </w:r>
          </w:p>
        </w:tc>
        <w:tc>
          <w:tcPr>
            <w:tcW w:w="442" w:type="dxa"/>
            <w:shd w:val="clear" w:color="auto" w:fill="auto"/>
            <w:vAlign w:val="center"/>
          </w:tcPr>
          <w:p w14:paraId="51639171">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w:t>
            </w:r>
          </w:p>
        </w:tc>
        <w:tc>
          <w:tcPr>
            <w:tcW w:w="1035" w:type="dxa"/>
            <w:shd w:val="clear" w:color="auto" w:fill="auto"/>
            <w:vAlign w:val="center"/>
          </w:tcPr>
          <w:p w14:paraId="7A008037">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10FC9A5B">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p w14:paraId="5D5D9822">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□合理缺项</w:t>
            </w:r>
          </w:p>
        </w:tc>
        <w:tc>
          <w:tcPr>
            <w:tcW w:w="395" w:type="dxa"/>
            <w:vAlign w:val="center"/>
          </w:tcPr>
          <w:p w14:paraId="5E473523">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2C94F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74" w:type="dxa"/>
            <w:vMerge w:val="restart"/>
            <w:vAlign w:val="center"/>
          </w:tcPr>
          <w:p w14:paraId="508FE53E">
            <w:pPr>
              <w:tabs>
                <w:tab w:val="left" w:pos="253"/>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五、职业病危害因素检测、评价</w:t>
            </w:r>
          </w:p>
        </w:tc>
        <w:tc>
          <w:tcPr>
            <w:tcW w:w="861" w:type="dxa"/>
            <w:vAlign w:val="center"/>
          </w:tcPr>
          <w:p w14:paraId="2DEA800F">
            <w:pPr>
              <w:numPr>
                <w:ilvl w:val="0"/>
                <w:numId w:val="1"/>
              </w:numPr>
              <w:tabs>
                <w:tab w:val="left" w:pos="320"/>
              </w:tabs>
              <w:adjustRightInd w:val="0"/>
              <w:snapToGrid w:val="0"/>
              <w:ind w:left="0" w:firstLine="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定期检测及现状评价</w:t>
            </w:r>
          </w:p>
        </w:tc>
        <w:tc>
          <w:tcPr>
            <w:tcW w:w="3337" w:type="dxa"/>
            <w:vAlign w:val="center"/>
          </w:tcPr>
          <w:p w14:paraId="56045B77">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职业病危害严重的用人单位，应当委托具有相应资质的职业卫生技术服务机构，每年至少进行一次职业病危害因素检测，每三年至少进行一次职业病危害现状评价。</w:t>
            </w:r>
          </w:p>
          <w:p w14:paraId="19EE056A">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职业病危害一般的用人单位，应当委托具有相应资质的职业卫生技术服务机构，每三年至少进行一次职业病危害因素检测。</w:t>
            </w:r>
          </w:p>
        </w:tc>
        <w:tc>
          <w:tcPr>
            <w:tcW w:w="2071" w:type="dxa"/>
            <w:vAlign w:val="center"/>
          </w:tcPr>
          <w:p w14:paraId="68C35CF9">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查阅职业病危害因素检测报告或现状评价报告，核对是否覆盖所有产生职业病危害因素的工作场所和所有职业病危害因素</w:t>
            </w:r>
          </w:p>
        </w:tc>
        <w:tc>
          <w:tcPr>
            <w:tcW w:w="1478" w:type="dxa"/>
            <w:vAlign w:val="center"/>
          </w:tcPr>
          <w:p w14:paraId="4497EA5A">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按要求开展定期检测或现状评价，且检测点覆盖所有产生职业病危害的场所，检测因素全面</w:t>
            </w:r>
          </w:p>
        </w:tc>
        <w:tc>
          <w:tcPr>
            <w:tcW w:w="1329" w:type="dxa"/>
            <w:vAlign w:val="center"/>
          </w:tcPr>
          <w:p w14:paraId="4000324F">
            <w:pPr>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1332" w:type="dxa"/>
            <w:vAlign w:val="center"/>
          </w:tcPr>
          <w:p w14:paraId="55C36AF1">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未进行定期检测或现状评价；或检测点未覆盖所有产生职业病危害的场所；或检测因素不全面</w:t>
            </w:r>
          </w:p>
        </w:tc>
        <w:tc>
          <w:tcPr>
            <w:tcW w:w="1038" w:type="dxa"/>
            <w:vAlign w:val="center"/>
          </w:tcPr>
          <w:p w14:paraId="13CD8C1B">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42" w:type="dxa"/>
            <w:vAlign w:val="center"/>
          </w:tcPr>
          <w:p w14:paraId="1629CDF6">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w:t>
            </w:r>
          </w:p>
        </w:tc>
        <w:tc>
          <w:tcPr>
            <w:tcW w:w="1035" w:type="dxa"/>
            <w:vAlign w:val="center"/>
          </w:tcPr>
          <w:p w14:paraId="672420BF">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2A35E8F8">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95" w:type="dxa"/>
            <w:vAlign w:val="center"/>
          </w:tcPr>
          <w:p w14:paraId="3683D60C">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4E925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44" w:hRule="atLeast"/>
        </w:trPr>
        <w:tc>
          <w:tcPr>
            <w:tcW w:w="674" w:type="dxa"/>
            <w:vMerge w:val="continue"/>
            <w:vAlign w:val="center"/>
          </w:tcPr>
          <w:p w14:paraId="007FBAB7">
            <w:pPr>
              <w:tabs>
                <w:tab w:val="left" w:pos="253"/>
              </w:tabs>
              <w:adjustRightInd w:val="0"/>
              <w:snapToGrid w:val="0"/>
              <w:rPr>
                <w:rFonts w:hint="eastAsia" w:ascii="方正仿宋_GBK" w:hAnsi="方正仿宋_GBK" w:eastAsia="方正仿宋_GBK" w:cs="方正仿宋_GBK"/>
                <w:color w:val="auto"/>
                <w:sz w:val="18"/>
                <w:szCs w:val="18"/>
              </w:rPr>
            </w:pPr>
          </w:p>
        </w:tc>
        <w:tc>
          <w:tcPr>
            <w:tcW w:w="861" w:type="dxa"/>
            <w:vAlign w:val="center"/>
          </w:tcPr>
          <w:p w14:paraId="6C68B83E">
            <w:pPr>
              <w:numPr>
                <w:ilvl w:val="0"/>
                <w:numId w:val="1"/>
              </w:numPr>
              <w:tabs>
                <w:tab w:val="left" w:pos="253"/>
              </w:tabs>
              <w:adjustRightInd w:val="0"/>
              <w:snapToGrid w:val="0"/>
              <w:ind w:left="0" w:firstLine="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治理措施</w:t>
            </w:r>
          </w:p>
        </w:tc>
        <w:tc>
          <w:tcPr>
            <w:tcW w:w="3337" w:type="dxa"/>
            <w:vAlign w:val="center"/>
          </w:tcPr>
          <w:p w14:paraId="099DF431">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在日常的职业病危害监测或者定期检测、现状评价过程中，发现工作场所职业病危害因素不符合国家职业卫生标准和卫生要求时，应当立即采取相应治理措施，确保其符合职业卫生环境和条件的要求。</w:t>
            </w:r>
          </w:p>
        </w:tc>
        <w:tc>
          <w:tcPr>
            <w:tcW w:w="2071" w:type="dxa"/>
            <w:vAlign w:val="center"/>
          </w:tcPr>
          <w:p w14:paraId="1A807122">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sz w:val="18"/>
                <w:szCs w:val="18"/>
              </w:rPr>
              <w:t>查阅日常</w:t>
            </w:r>
            <w:r>
              <w:rPr>
                <w:rFonts w:hint="eastAsia" w:ascii="方正仿宋_GBK" w:hAnsi="方正仿宋_GBK" w:eastAsia="方正仿宋_GBK" w:cs="方正仿宋_GBK"/>
                <w:color w:val="auto"/>
                <w:kern w:val="0"/>
                <w:sz w:val="18"/>
                <w:szCs w:val="18"/>
              </w:rPr>
              <w:t>监测或者定期检测、现状评价中职业病危害因素超标场所及整改情况</w:t>
            </w:r>
          </w:p>
        </w:tc>
        <w:tc>
          <w:tcPr>
            <w:tcW w:w="1478" w:type="dxa"/>
            <w:vAlign w:val="center"/>
          </w:tcPr>
          <w:p w14:paraId="0243C3DB">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sz w:val="18"/>
                <w:szCs w:val="18"/>
              </w:rPr>
              <w:t>已按要求采取相应治理措施，治理效果良好，</w:t>
            </w:r>
            <w:r>
              <w:rPr>
                <w:rFonts w:hint="eastAsia" w:ascii="方正仿宋_GBK" w:hAnsi="方正仿宋_GBK" w:eastAsia="方正仿宋_GBK" w:cs="方正仿宋_GBK"/>
                <w:color w:val="auto"/>
                <w:kern w:val="0"/>
                <w:sz w:val="18"/>
                <w:szCs w:val="18"/>
              </w:rPr>
              <w:t>职业病危害因素强度或者浓度符合国家职业卫生标准的要求</w:t>
            </w:r>
          </w:p>
        </w:tc>
        <w:tc>
          <w:tcPr>
            <w:tcW w:w="1329" w:type="dxa"/>
            <w:vAlign w:val="center"/>
          </w:tcPr>
          <w:p w14:paraId="79B9C011">
            <w:pPr>
              <w:adjustRightInd w:val="0"/>
              <w:snapToGrid w:val="0"/>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sz w:val="18"/>
                <w:szCs w:val="18"/>
              </w:rPr>
              <w:t>已按要求采取工程技术措施仍不能使作业岗位危害因素</w:t>
            </w:r>
            <w:r>
              <w:rPr>
                <w:rFonts w:hint="eastAsia" w:ascii="方正仿宋_GBK" w:hAnsi="方正仿宋_GBK" w:eastAsia="方正仿宋_GBK" w:cs="方正仿宋_GBK"/>
                <w:color w:val="auto"/>
                <w:kern w:val="0"/>
                <w:sz w:val="18"/>
                <w:szCs w:val="18"/>
              </w:rPr>
              <w:t>强度或者浓度</w:t>
            </w:r>
            <w:r>
              <w:rPr>
                <w:rFonts w:hint="eastAsia" w:ascii="方正仿宋_GBK" w:hAnsi="方正仿宋_GBK" w:eastAsia="方正仿宋_GBK" w:cs="方正仿宋_GBK"/>
                <w:color w:val="auto"/>
                <w:sz w:val="18"/>
                <w:szCs w:val="18"/>
              </w:rPr>
              <w:t>达到职业卫生标准，但通过管理措施，使劳动者实际接触水平符合</w:t>
            </w:r>
            <w:r>
              <w:rPr>
                <w:rFonts w:hint="eastAsia" w:ascii="方正仿宋_GBK" w:hAnsi="方正仿宋_GBK" w:eastAsia="方正仿宋_GBK" w:cs="方正仿宋_GBK"/>
                <w:color w:val="auto"/>
                <w:kern w:val="0"/>
                <w:sz w:val="18"/>
                <w:szCs w:val="18"/>
              </w:rPr>
              <w:t>要求。</w:t>
            </w:r>
          </w:p>
        </w:tc>
        <w:tc>
          <w:tcPr>
            <w:tcW w:w="1332" w:type="dxa"/>
            <w:vAlign w:val="center"/>
          </w:tcPr>
          <w:p w14:paraId="19BFDE56">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sz w:val="18"/>
                <w:szCs w:val="18"/>
              </w:rPr>
              <w:t>未按要求采取相应治理措施</w:t>
            </w:r>
          </w:p>
        </w:tc>
        <w:tc>
          <w:tcPr>
            <w:tcW w:w="1038" w:type="dxa"/>
            <w:vAlign w:val="center"/>
          </w:tcPr>
          <w:p w14:paraId="6EAAA110">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日常监测或定期检测、现状评价中均无不符合项</w:t>
            </w:r>
          </w:p>
        </w:tc>
        <w:tc>
          <w:tcPr>
            <w:tcW w:w="442" w:type="dxa"/>
            <w:vAlign w:val="center"/>
          </w:tcPr>
          <w:p w14:paraId="60C37B4F">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20</w:t>
            </w:r>
          </w:p>
        </w:tc>
        <w:tc>
          <w:tcPr>
            <w:tcW w:w="1035" w:type="dxa"/>
            <w:vAlign w:val="center"/>
          </w:tcPr>
          <w:p w14:paraId="7B86C3AC">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14A84EA3">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□基本符合</w:t>
            </w:r>
          </w:p>
          <w:p w14:paraId="2104A943">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p w14:paraId="73335EE7">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□合理缺项</w:t>
            </w:r>
          </w:p>
        </w:tc>
        <w:tc>
          <w:tcPr>
            <w:tcW w:w="395" w:type="dxa"/>
            <w:vAlign w:val="center"/>
          </w:tcPr>
          <w:p w14:paraId="1C7ACE64">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547DF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74" w:type="dxa"/>
            <w:vMerge w:val="restart"/>
            <w:vAlign w:val="center"/>
          </w:tcPr>
          <w:p w14:paraId="43805CD6">
            <w:pPr>
              <w:tabs>
                <w:tab w:val="left" w:pos="253"/>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kern w:val="0"/>
                <w:sz w:val="18"/>
                <w:szCs w:val="18"/>
              </w:rPr>
              <w:t>六、职业病防护设施和个人防护用品</w:t>
            </w:r>
          </w:p>
        </w:tc>
        <w:tc>
          <w:tcPr>
            <w:tcW w:w="861" w:type="dxa"/>
            <w:vAlign w:val="center"/>
          </w:tcPr>
          <w:p w14:paraId="46985921">
            <w:pPr>
              <w:numPr>
                <w:ilvl w:val="0"/>
                <w:numId w:val="1"/>
              </w:numPr>
              <w:tabs>
                <w:tab w:val="left" w:pos="320"/>
              </w:tabs>
              <w:adjustRightInd w:val="0"/>
              <w:snapToGrid w:val="0"/>
              <w:ind w:left="0" w:firstLine="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防护设施配备</w:t>
            </w:r>
          </w:p>
        </w:tc>
        <w:tc>
          <w:tcPr>
            <w:tcW w:w="3337" w:type="dxa"/>
            <w:vAlign w:val="center"/>
          </w:tcPr>
          <w:p w14:paraId="6385A2D0">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职业病防护设施配备齐全、有效。</w:t>
            </w:r>
          </w:p>
        </w:tc>
        <w:tc>
          <w:tcPr>
            <w:tcW w:w="2071" w:type="dxa"/>
            <w:vAlign w:val="center"/>
          </w:tcPr>
          <w:p w14:paraId="1CFA0270">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重点检查矽尘、石棉粉尘、高毒或放射性工作场所的防护设施配备情况，是否正常运行</w:t>
            </w:r>
          </w:p>
        </w:tc>
        <w:tc>
          <w:tcPr>
            <w:tcW w:w="1478" w:type="dxa"/>
            <w:vAlign w:val="center"/>
          </w:tcPr>
          <w:p w14:paraId="180F2079">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职业病防护设施配备齐全，且正常运行</w:t>
            </w:r>
          </w:p>
        </w:tc>
        <w:tc>
          <w:tcPr>
            <w:tcW w:w="1329" w:type="dxa"/>
            <w:vAlign w:val="center"/>
          </w:tcPr>
          <w:p w14:paraId="4FABFC54">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职业病防护设施配备基本齐全，基本正常运行</w:t>
            </w:r>
          </w:p>
        </w:tc>
        <w:tc>
          <w:tcPr>
            <w:tcW w:w="1332" w:type="dxa"/>
            <w:vAlign w:val="center"/>
          </w:tcPr>
          <w:p w14:paraId="43C35EC7">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职业病防护设施配备不全；或无法正常运行</w:t>
            </w:r>
          </w:p>
        </w:tc>
        <w:tc>
          <w:tcPr>
            <w:tcW w:w="1038" w:type="dxa"/>
            <w:vAlign w:val="center"/>
          </w:tcPr>
          <w:p w14:paraId="37648143">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42" w:type="dxa"/>
            <w:vAlign w:val="center"/>
          </w:tcPr>
          <w:p w14:paraId="444814BB">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20</w:t>
            </w:r>
          </w:p>
        </w:tc>
        <w:tc>
          <w:tcPr>
            <w:tcW w:w="1035" w:type="dxa"/>
            <w:vAlign w:val="center"/>
          </w:tcPr>
          <w:p w14:paraId="465D03FD">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7FE7A9CC">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□基本符合</w:t>
            </w:r>
          </w:p>
          <w:p w14:paraId="69D7E6B9">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95" w:type="dxa"/>
            <w:vAlign w:val="center"/>
          </w:tcPr>
          <w:p w14:paraId="283B232A">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04DAE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74" w:type="dxa"/>
            <w:vMerge w:val="continue"/>
            <w:vAlign w:val="center"/>
          </w:tcPr>
          <w:p w14:paraId="0E1E39A7">
            <w:pPr>
              <w:tabs>
                <w:tab w:val="left" w:pos="253"/>
              </w:tabs>
              <w:adjustRightInd w:val="0"/>
              <w:snapToGrid w:val="0"/>
              <w:rPr>
                <w:rFonts w:hint="eastAsia" w:ascii="方正仿宋_GBK" w:hAnsi="方正仿宋_GBK" w:eastAsia="方正仿宋_GBK" w:cs="方正仿宋_GBK"/>
                <w:color w:val="auto"/>
                <w:sz w:val="18"/>
                <w:szCs w:val="18"/>
              </w:rPr>
            </w:pPr>
          </w:p>
        </w:tc>
        <w:tc>
          <w:tcPr>
            <w:tcW w:w="861" w:type="dxa"/>
            <w:vAlign w:val="center"/>
          </w:tcPr>
          <w:p w14:paraId="3B407505">
            <w:pPr>
              <w:numPr>
                <w:ilvl w:val="0"/>
                <w:numId w:val="1"/>
              </w:numPr>
              <w:tabs>
                <w:tab w:val="left" w:pos="320"/>
              </w:tabs>
              <w:adjustRightInd w:val="0"/>
              <w:snapToGrid w:val="0"/>
              <w:ind w:left="0" w:firstLine="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防护用品配备</w:t>
            </w:r>
          </w:p>
        </w:tc>
        <w:tc>
          <w:tcPr>
            <w:tcW w:w="3337" w:type="dxa"/>
            <w:vAlign w:val="center"/>
          </w:tcPr>
          <w:p w14:paraId="61F78C52">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应根据工作场所的职业病危害因素的种类、危害程度、对人体的影响途径以及现场生产条件、职业病危害因素的接触水平以及个人的生理和健康状况等特点，为劳动者配备适宜的符合国家或行业标准的个人职业病防护用品。</w:t>
            </w:r>
          </w:p>
        </w:tc>
        <w:tc>
          <w:tcPr>
            <w:tcW w:w="2071" w:type="dxa"/>
            <w:vAlign w:val="center"/>
          </w:tcPr>
          <w:p w14:paraId="53C465BF">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查阅防护用品的采购合同和计划，查阅发放登记账目、个人职业病防护用品领取记录，现场检查防护用品维护、更换情况</w:t>
            </w:r>
          </w:p>
        </w:tc>
        <w:tc>
          <w:tcPr>
            <w:tcW w:w="1478" w:type="dxa"/>
            <w:vAlign w:val="center"/>
          </w:tcPr>
          <w:p w14:paraId="28DB015F">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为劳动者个人提供的职业病防护用品符合防治职业病要求，且按要求对防护用品进行维护、更换等</w:t>
            </w:r>
          </w:p>
        </w:tc>
        <w:tc>
          <w:tcPr>
            <w:tcW w:w="1329" w:type="dxa"/>
            <w:vAlign w:val="center"/>
          </w:tcPr>
          <w:p w14:paraId="7F3FDD47">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个人防护用品配备不全；或个别防护用品进行维护、更换不及时</w:t>
            </w:r>
          </w:p>
        </w:tc>
        <w:tc>
          <w:tcPr>
            <w:tcW w:w="1332" w:type="dxa"/>
            <w:vAlign w:val="center"/>
          </w:tcPr>
          <w:p w14:paraId="64570A7C">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未配备个人防护用品；或配备的防护用品未及时维护、更换等</w:t>
            </w:r>
          </w:p>
        </w:tc>
        <w:tc>
          <w:tcPr>
            <w:tcW w:w="1038" w:type="dxa"/>
            <w:vAlign w:val="center"/>
          </w:tcPr>
          <w:p w14:paraId="26169C08">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42" w:type="dxa"/>
            <w:vAlign w:val="center"/>
          </w:tcPr>
          <w:p w14:paraId="0670A42C">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20</w:t>
            </w:r>
          </w:p>
        </w:tc>
        <w:tc>
          <w:tcPr>
            <w:tcW w:w="1035" w:type="dxa"/>
            <w:vAlign w:val="center"/>
          </w:tcPr>
          <w:p w14:paraId="2CCFE6FF">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1FC9581F">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□基本符合</w:t>
            </w:r>
          </w:p>
          <w:p w14:paraId="68692F31">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95" w:type="dxa"/>
            <w:vAlign w:val="center"/>
          </w:tcPr>
          <w:p w14:paraId="50492A64">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25DFF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74" w:type="dxa"/>
            <w:vMerge w:val="restart"/>
            <w:vAlign w:val="center"/>
          </w:tcPr>
          <w:p w14:paraId="7156FCD2">
            <w:pPr>
              <w:tabs>
                <w:tab w:val="left" w:pos="253"/>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lang w:val="en-US" w:eastAsia="zh-CN"/>
              </w:rPr>
              <w:t>七</w:t>
            </w:r>
            <w:r>
              <w:rPr>
                <w:rFonts w:hint="eastAsia" w:ascii="方正仿宋_GBK" w:hAnsi="方正仿宋_GBK" w:eastAsia="方正仿宋_GBK" w:cs="方正仿宋_GBK"/>
                <w:color w:val="auto"/>
                <w:sz w:val="18"/>
                <w:szCs w:val="18"/>
              </w:rPr>
              <w:t>、职业病危害告知</w:t>
            </w:r>
          </w:p>
        </w:tc>
        <w:tc>
          <w:tcPr>
            <w:tcW w:w="861" w:type="dxa"/>
            <w:vAlign w:val="center"/>
          </w:tcPr>
          <w:p w14:paraId="1AA611D9">
            <w:pPr>
              <w:numPr>
                <w:ilvl w:val="0"/>
                <w:numId w:val="1"/>
              </w:numPr>
              <w:tabs>
                <w:tab w:val="left" w:pos="320"/>
              </w:tabs>
              <w:adjustRightInd w:val="0"/>
              <w:snapToGrid w:val="0"/>
              <w:ind w:left="0" w:firstLine="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合同告知</w:t>
            </w:r>
          </w:p>
        </w:tc>
        <w:tc>
          <w:tcPr>
            <w:tcW w:w="3337" w:type="dxa"/>
            <w:vAlign w:val="center"/>
          </w:tcPr>
          <w:p w14:paraId="7DBCE7F7">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与劳动者订立或变更劳动合同时，将工作过程中可能产生的职业病危害及其后果、职业病防护措施和待遇等如实告知劳动者，并在职业病危害附加合同告知书中写明，不得隐瞒或者欺骗。</w:t>
            </w:r>
          </w:p>
        </w:tc>
        <w:tc>
          <w:tcPr>
            <w:tcW w:w="2071" w:type="dxa"/>
            <w:vAlign w:val="center"/>
          </w:tcPr>
          <w:p w14:paraId="2C6DEE3E">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抽查劳动合同是否有相关条款进行告知，或有无补充合同或专项合同</w:t>
            </w:r>
          </w:p>
        </w:tc>
        <w:tc>
          <w:tcPr>
            <w:tcW w:w="1478" w:type="dxa"/>
            <w:vAlign w:val="center"/>
          </w:tcPr>
          <w:p w14:paraId="5458E039">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按要求进行职业病危害告知，告知内容包括岗位接触的职业病危害及其后果、防护措施等</w:t>
            </w:r>
          </w:p>
        </w:tc>
        <w:tc>
          <w:tcPr>
            <w:tcW w:w="1329" w:type="dxa"/>
            <w:vAlign w:val="center"/>
          </w:tcPr>
          <w:p w14:paraId="5E2AFC1E">
            <w:pPr>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1332" w:type="dxa"/>
            <w:vAlign w:val="center"/>
          </w:tcPr>
          <w:p w14:paraId="503D1193">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未按要求进行职业病危害告知，或告知内容与实际不符</w:t>
            </w:r>
          </w:p>
        </w:tc>
        <w:tc>
          <w:tcPr>
            <w:tcW w:w="1038" w:type="dxa"/>
            <w:vAlign w:val="center"/>
          </w:tcPr>
          <w:p w14:paraId="02D8DFB2">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42" w:type="dxa"/>
            <w:vAlign w:val="center"/>
          </w:tcPr>
          <w:p w14:paraId="54706BEF">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w:t>
            </w:r>
          </w:p>
        </w:tc>
        <w:tc>
          <w:tcPr>
            <w:tcW w:w="1035" w:type="dxa"/>
            <w:vAlign w:val="center"/>
          </w:tcPr>
          <w:p w14:paraId="23258915">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3389909D">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95" w:type="dxa"/>
            <w:vAlign w:val="center"/>
          </w:tcPr>
          <w:p w14:paraId="51C4AC82">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799D3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74" w:type="dxa"/>
            <w:vMerge w:val="continue"/>
            <w:vAlign w:val="center"/>
          </w:tcPr>
          <w:p w14:paraId="13C5B037">
            <w:pPr>
              <w:tabs>
                <w:tab w:val="left" w:pos="253"/>
              </w:tabs>
              <w:adjustRightInd w:val="0"/>
              <w:snapToGrid w:val="0"/>
              <w:rPr>
                <w:rFonts w:hint="eastAsia" w:ascii="方正仿宋_GBK" w:hAnsi="方正仿宋_GBK" w:eastAsia="方正仿宋_GBK" w:cs="方正仿宋_GBK"/>
                <w:color w:val="auto"/>
                <w:sz w:val="18"/>
                <w:szCs w:val="18"/>
              </w:rPr>
            </w:pPr>
          </w:p>
        </w:tc>
        <w:tc>
          <w:tcPr>
            <w:tcW w:w="861" w:type="dxa"/>
            <w:vAlign w:val="center"/>
          </w:tcPr>
          <w:p w14:paraId="7AF99EEF">
            <w:pPr>
              <w:numPr>
                <w:ilvl w:val="0"/>
                <w:numId w:val="1"/>
              </w:numPr>
              <w:tabs>
                <w:tab w:val="left" w:pos="320"/>
              </w:tabs>
              <w:adjustRightInd w:val="0"/>
              <w:snapToGrid w:val="0"/>
              <w:ind w:left="0" w:firstLine="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公告栏、警示标识和告知卡</w:t>
            </w:r>
          </w:p>
        </w:tc>
        <w:tc>
          <w:tcPr>
            <w:tcW w:w="3337" w:type="dxa"/>
            <w:vAlign w:val="center"/>
          </w:tcPr>
          <w:p w14:paraId="702405CA">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(1)在醒目位置设置公告栏，公布有关职业病防治的规章制度、操作规程、职业病危害事故应急救援措施。</w:t>
            </w:r>
          </w:p>
          <w:p w14:paraId="06AC9FDC">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(2)存在或者产生职业病危害的工作场所、作业岗位、设备、设施，按照《工作场所职业病危害警示标识》(GBZ158)的规定，在醒目位置设置图形、警示线、警示语句等警示标识和中文警示说明。</w:t>
            </w:r>
          </w:p>
          <w:p w14:paraId="1F552F81">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(3)产生严重职业病危害的作业岗位，应在醒目位置设置职业病危害告知卡。</w:t>
            </w:r>
          </w:p>
        </w:tc>
        <w:tc>
          <w:tcPr>
            <w:tcW w:w="2071" w:type="dxa"/>
            <w:vAlign w:val="center"/>
          </w:tcPr>
          <w:p w14:paraId="6109DE7C">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现场检查核实公告栏；现场重点检查存在矽尘、石棉粉尘、高毒和放射性物质的岗位警示标识和告知卡设置情况</w:t>
            </w:r>
          </w:p>
        </w:tc>
        <w:tc>
          <w:tcPr>
            <w:tcW w:w="1478" w:type="dxa"/>
            <w:vAlign w:val="center"/>
          </w:tcPr>
          <w:p w14:paraId="2CD46AE2">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设置有公告栏，且内容齐全；现场按要求规范设置警示标识和告知卡</w:t>
            </w:r>
          </w:p>
        </w:tc>
        <w:tc>
          <w:tcPr>
            <w:tcW w:w="1329" w:type="dxa"/>
            <w:vAlign w:val="center"/>
          </w:tcPr>
          <w:p w14:paraId="7088195E">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设置有公告栏，但内容不规范；或现场设置有警示标识和告知卡，但不规范</w:t>
            </w:r>
          </w:p>
        </w:tc>
        <w:tc>
          <w:tcPr>
            <w:tcW w:w="1332" w:type="dxa"/>
            <w:vAlign w:val="center"/>
          </w:tcPr>
          <w:p w14:paraId="436046EC">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未设置公告栏；或现场未按要求设置警示标识、告知卡</w:t>
            </w:r>
          </w:p>
        </w:tc>
        <w:tc>
          <w:tcPr>
            <w:tcW w:w="1038" w:type="dxa"/>
            <w:vAlign w:val="center"/>
          </w:tcPr>
          <w:p w14:paraId="14F5E69E">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42" w:type="dxa"/>
            <w:vAlign w:val="center"/>
          </w:tcPr>
          <w:p w14:paraId="259A7198">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10</w:t>
            </w:r>
          </w:p>
        </w:tc>
        <w:tc>
          <w:tcPr>
            <w:tcW w:w="1035" w:type="dxa"/>
            <w:vAlign w:val="center"/>
          </w:tcPr>
          <w:p w14:paraId="22494286">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77BCC1B3">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□基本符合</w:t>
            </w:r>
          </w:p>
          <w:p w14:paraId="1E6432AC">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95" w:type="dxa"/>
            <w:vAlign w:val="center"/>
          </w:tcPr>
          <w:p w14:paraId="4CF15C8E">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2A3E4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74" w:type="dxa"/>
            <w:vMerge w:val="restart"/>
            <w:vAlign w:val="center"/>
          </w:tcPr>
          <w:p w14:paraId="227311AC">
            <w:pPr>
              <w:tabs>
                <w:tab w:val="left" w:pos="253"/>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kern w:val="0"/>
                <w:sz w:val="18"/>
                <w:szCs w:val="18"/>
                <w:lang w:val="en-US" w:eastAsia="zh-CN"/>
              </w:rPr>
              <w:t>八</w:t>
            </w:r>
            <w:r>
              <w:rPr>
                <w:rFonts w:hint="eastAsia" w:ascii="方正仿宋_GBK" w:hAnsi="方正仿宋_GBK" w:eastAsia="方正仿宋_GBK" w:cs="方正仿宋_GBK"/>
                <w:color w:val="auto"/>
                <w:kern w:val="0"/>
                <w:sz w:val="18"/>
                <w:szCs w:val="18"/>
              </w:rPr>
              <w:t>、职业卫生宣传教育培训</w:t>
            </w:r>
          </w:p>
        </w:tc>
        <w:tc>
          <w:tcPr>
            <w:tcW w:w="861" w:type="dxa"/>
            <w:vAlign w:val="center"/>
          </w:tcPr>
          <w:p w14:paraId="434AF9A4">
            <w:pPr>
              <w:numPr>
                <w:ilvl w:val="0"/>
                <w:numId w:val="1"/>
              </w:numPr>
              <w:tabs>
                <w:tab w:val="left" w:pos="320"/>
              </w:tabs>
              <w:adjustRightInd w:val="0"/>
              <w:snapToGrid w:val="0"/>
              <w:ind w:left="0" w:firstLine="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主要负责人和职业卫生管理人员培训</w:t>
            </w:r>
          </w:p>
        </w:tc>
        <w:tc>
          <w:tcPr>
            <w:tcW w:w="3337" w:type="dxa"/>
            <w:vAlign w:val="center"/>
          </w:tcPr>
          <w:p w14:paraId="17C98734">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主要负责人和职业卫生管理人员应当具备与本单位所从事的生产经营活动相适应的职业卫生知识和管理能力，并接受职业卫生培训。</w:t>
            </w:r>
          </w:p>
        </w:tc>
        <w:tc>
          <w:tcPr>
            <w:tcW w:w="2071" w:type="dxa"/>
            <w:vAlign w:val="center"/>
          </w:tcPr>
          <w:p w14:paraId="06DCCAD6">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查看培训证书或相关培训证明材料</w:t>
            </w:r>
          </w:p>
        </w:tc>
        <w:tc>
          <w:tcPr>
            <w:tcW w:w="1478" w:type="dxa"/>
            <w:vAlign w:val="center"/>
          </w:tcPr>
          <w:p w14:paraId="231C5C3A">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主要负责人和职业卫生管理人员均有培训证明材料</w:t>
            </w:r>
          </w:p>
        </w:tc>
        <w:tc>
          <w:tcPr>
            <w:tcW w:w="1329" w:type="dxa"/>
            <w:vAlign w:val="center"/>
          </w:tcPr>
          <w:p w14:paraId="792755EF">
            <w:pPr>
              <w:adjustRightInd w:val="0"/>
              <w:snapToGrid w:val="0"/>
              <w:jc w:val="center"/>
              <w:rPr>
                <w:rFonts w:hint="eastAsia" w:ascii="方正仿宋_GBK" w:hAnsi="方正仿宋_GBK" w:eastAsia="方正仿宋_GBK" w:cs="方正仿宋_GBK"/>
                <w:color w:val="auto"/>
                <w:sz w:val="18"/>
                <w:szCs w:val="18"/>
                <w:lang w:val="en"/>
              </w:rPr>
            </w:pPr>
            <w:r>
              <w:rPr>
                <w:rFonts w:hint="eastAsia" w:ascii="方正仿宋_GBK" w:hAnsi="方正仿宋_GBK" w:eastAsia="方正仿宋_GBK" w:cs="方正仿宋_GBK"/>
                <w:color w:val="auto"/>
                <w:sz w:val="18"/>
                <w:szCs w:val="18"/>
                <w:lang w:val="en"/>
              </w:rPr>
              <w:t>-</w:t>
            </w:r>
          </w:p>
        </w:tc>
        <w:tc>
          <w:tcPr>
            <w:tcW w:w="1332" w:type="dxa"/>
            <w:vAlign w:val="center"/>
          </w:tcPr>
          <w:p w14:paraId="0F90C19E">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主要负责人或职业卫生管理人员无培训证明材料</w:t>
            </w:r>
          </w:p>
        </w:tc>
        <w:tc>
          <w:tcPr>
            <w:tcW w:w="1038" w:type="dxa"/>
            <w:vAlign w:val="center"/>
          </w:tcPr>
          <w:p w14:paraId="7040B38C">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42" w:type="dxa"/>
            <w:vAlign w:val="center"/>
          </w:tcPr>
          <w:p w14:paraId="6868F209">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w:t>
            </w:r>
          </w:p>
        </w:tc>
        <w:tc>
          <w:tcPr>
            <w:tcW w:w="1035" w:type="dxa"/>
            <w:vAlign w:val="center"/>
          </w:tcPr>
          <w:p w14:paraId="6318846F">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4DEA2A21">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95" w:type="dxa"/>
            <w:vAlign w:val="center"/>
          </w:tcPr>
          <w:p w14:paraId="398013E2">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47F1D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74" w:type="dxa"/>
            <w:vMerge w:val="continue"/>
            <w:vAlign w:val="center"/>
          </w:tcPr>
          <w:p w14:paraId="3AB274B4">
            <w:pPr>
              <w:tabs>
                <w:tab w:val="left" w:pos="253"/>
              </w:tabs>
              <w:adjustRightInd w:val="0"/>
              <w:snapToGrid w:val="0"/>
              <w:rPr>
                <w:rFonts w:hint="eastAsia" w:ascii="方正仿宋_GBK" w:hAnsi="方正仿宋_GBK" w:eastAsia="方正仿宋_GBK" w:cs="方正仿宋_GBK"/>
                <w:color w:val="auto"/>
                <w:sz w:val="18"/>
                <w:szCs w:val="18"/>
              </w:rPr>
            </w:pPr>
          </w:p>
        </w:tc>
        <w:tc>
          <w:tcPr>
            <w:tcW w:w="861" w:type="dxa"/>
            <w:vAlign w:val="center"/>
          </w:tcPr>
          <w:p w14:paraId="7E31A89C">
            <w:pPr>
              <w:numPr>
                <w:ilvl w:val="0"/>
                <w:numId w:val="1"/>
              </w:numPr>
              <w:tabs>
                <w:tab w:val="left" w:pos="320"/>
              </w:tabs>
              <w:adjustRightInd w:val="0"/>
              <w:snapToGrid w:val="0"/>
              <w:ind w:left="0" w:firstLine="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劳动者培训</w:t>
            </w:r>
          </w:p>
        </w:tc>
        <w:tc>
          <w:tcPr>
            <w:tcW w:w="3337" w:type="dxa"/>
            <w:vAlign w:val="center"/>
          </w:tcPr>
          <w:p w14:paraId="6FF057BD">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(1)对劳动者进行上岗前和在岗期间定期的职业卫生培训。</w:t>
            </w:r>
          </w:p>
          <w:p w14:paraId="6974060D">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(2)对存在矽尘、石棉粉尘、高毒物品以及放射性危害等职业病危害严重岗位的劳动者，进行专门的职业卫生培训，经培训合格后方可上岗作业。</w:t>
            </w:r>
          </w:p>
        </w:tc>
        <w:tc>
          <w:tcPr>
            <w:tcW w:w="2071" w:type="dxa"/>
            <w:vAlign w:val="center"/>
          </w:tcPr>
          <w:p w14:paraId="71E623E9">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查阅培训教材、资料、记录和试卷</w:t>
            </w:r>
          </w:p>
        </w:tc>
        <w:tc>
          <w:tcPr>
            <w:tcW w:w="1478" w:type="dxa"/>
            <w:vAlign w:val="center"/>
          </w:tcPr>
          <w:p w14:paraId="1257F066">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按照规定对上岗前、在岗期间的劳动者进行职业卫生培训</w:t>
            </w:r>
          </w:p>
        </w:tc>
        <w:tc>
          <w:tcPr>
            <w:tcW w:w="1329" w:type="dxa"/>
            <w:vAlign w:val="center"/>
          </w:tcPr>
          <w:p w14:paraId="77CF2513">
            <w:pPr>
              <w:adjustRightInd w:val="0"/>
              <w:snapToGrid w:val="0"/>
              <w:rPr>
                <w:rFonts w:hint="eastAsia" w:ascii="方正仿宋_GBK" w:hAnsi="方正仿宋_GBK" w:eastAsia="方正仿宋_GBK" w:cs="方正仿宋_GBK"/>
                <w:color w:val="auto"/>
                <w:sz w:val="18"/>
                <w:szCs w:val="18"/>
                <w:lang w:val="en"/>
              </w:rPr>
            </w:pPr>
            <w:r>
              <w:rPr>
                <w:rFonts w:hint="eastAsia" w:ascii="方正仿宋_GBK" w:hAnsi="方正仿宋_GBK" w:eastAsia="方正仿宋_GBK" w:cs="方正仿宋_GBK"/>
                <w:color w:val="auto"/>
                <w:sz w:val="18"/>
                <w:szCs w:val="18"/>
              </w:rPr>
              <w:t>仅对部分劳动者进行职业卫生培训</w:t>
            </w:r>
          </w:p>
        </w:tc>
        <w:tc>
          <w:tcPr>
            <w:tcW w:w="1332" w:type="dxa"/>
            <w:vAlign w:val="center"/>
          </w:tcPr>
          <w:p w14:paraId="36F0A1A6">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未按照规定对上岗前、在岗期间的劳动者进行职业卫生培训</w:t>
            </w:r>
          </w:p>
        </w:tc>
        <w:tc>
          <w:tcPr>
            <w:tcW w:w="1038" w:type="dxa"/>
            <w:vAlign w:val="center"/>
          </w:tcPr>
          <w:p w14:paraId="3C6FD27A">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42" w:type="dxa"/>
            <w:vAlign w:val="center"/>
          </w:tcPr>
          <w:p w14:paraId="76E20216">
            <w:pPr>
              <w:widowControl/>
              <w:adjustRightInd w:val="0"/>
              <w:snapToGrid w:val="0"/>
              <w:jc w:val="center"/>
              <w:rPr>
                <w:rFonts w:hint="eastAsia" w:ascii="方正仿宋_GBK" w:hAnsi="方正仿宋_GBK" w:eastAsia="方正仿宋_GBK" w:cs="方正仿宋_GBK"/>
                <w:strike/>
                <w:color w:val="auto"/>
                <w:kern w:val="0"/>
                <w:sz w:val="18"/>
                <w:szCs w:val="18"/>
              </w:rPr>
            </w:pPr>
            <w:r>
              <w:rPr>
                <w:rFonts w:hint="eastAsia" w:ascii="方正仿宋_GBK" w:hAnsi="方正仿宋_GBK" w:eastAsia="方正仿宋_GBK" w:cs="方正仿宋_GBK"/>
                <w:color w:val="auto"/>
                <w:kern w:val="0"/>
                <w:sz w:val="18"/>
                <w:szCs w:val="18"/>
              </w:rPr>
              <w:t>15</w:t>
            </w:r>
          </w:p>
        </w:tc>
        <w:tc>
          <w:tcPr>
            <w:tcW w:w="1035" w:type="dxa"/>
            <w:vAlign w:val="center"/>
          </w:tcPr>
          <w:p w14:paraId="12FC0394">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3AC5CE7A">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□基本符合</w:t>
            </w:r>
          </w:p>
          <w:p w14:paraId="025D4484">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95" w:type="dxa"/>
            <w:vAlign w:val="center"/>
          </w:tcPr>
          <w:p w14:paraId="6BBB796B">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19600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74" w:type="dxa"/>
            <w:vMerge w:val="restart"/>
            <w:vAlign w:val="center"/>
          </w:tcPr>
          <w:p w14:paraId="4CAD27B5">
            <w:pPr>
              <w:tabs>
                <w:tab w:val="left" w:pos="253"/>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lang w:val="en-US" w:eastAsia="zh-CN"/>
              </w:rPr>
              <w:t>九</w:t>
            </w:r>
            <w:r>
              <w:rPr>
                <w:rFonts w:hint="eastAsia" w:ascii="方正仿宋_GBK" w:hAnsi="方正仿宋_GBK" w:eastAsia="方正仿宋_GBK" w:cs="方正仿宋_GBK"/>
                <w:color w:val="auto"/>
                <w:sz w:val="18"/>
                <w:szCs w:val="18"/>
              </w:rPr>
              <w:t>、职业健康监护</w:t>
            </w:r>
          </w:p>
        </w:tc>
        <w:tc>
          <w:tcPr>
            <w:tcW w:w="861" w:type="dxa"/>
            <w:shd w:val="clear" w:color="auto" w:fill="auto"/>
            <w:vAlign w:val="center"/>
          </w:tcPr>
          <w:p w14:paraId="23E9C19D">
            <w:pPr>
              <w:numPr>
                <w:ilvl w:val="0"/>
                <w:numId w:val="1"/>
              </w:numPr>
              <w:tabs>
                <w:tab w:val="left" w:pos="320"/>
              </w:tabs>
              <w:adjustRightInd w:val="0"/>
              <w:snapToGrid w:val="0"/>
              <w:ind w:left="0" w:firstLine="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上岗前职业健康检查</w:t>
            </w:r>
          </w:p>
        </w:tc>
        <w:tc>
          <w:tcPr>
            <w:tcW w:w="3337" w:type="dxa"/>
            <w:shd w:val="clear" w:color="auto" w:fill="auto"/>
            <w:vAlign w:val="center"/>
          </w:tcPr>
          <w:p w14:paraId="1F09507E">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按照规定组织劳动者进行上岗前的职业健康检查。</w:t>
            </w:r>
          </w:p>
        </w:tc>
        <w:tc>
          <w:tcPr>
            <w:tcW w:w="2071" w:type="dxa"/>
            <w:shd w:val="clear" w:color="auto" w:fill="auto"/>
            <w:vAlign w:val="center"/>
          </w:tcPr>
          <w:p w14:paraId="4CE75F3F">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查阅劳动合同和上岗前职业健康检查报告</w:t>
            </w:r>
          </w:p>
        </w:tc>
        <w:tc>
          <w:tcPr>
            <w:tcW w:w="1478" w:type="dxa"/>
            <w:shd w:val="clear" w:color="auto" w:fill="auto"/>
            <w:vAlign w:val="center"/>
          </w:tcPr>
          <w:p w14:paraId="475C2248">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按要求组织劳动者进行上岗前职业健康检查，且体检项目齐全</w:t>
            </w:r>
          </w:p>
        </w:tc>
        <w:tc>
          <w:tcPr>
            <w:tcW w:w="1329" w:type="dxa"/>
            <w:shd w:val="clear" w:color="auto" w:fill="auto"/>
            <w:vAlign w:val="center"/>
          </w:tcPr>
          <w:p w14:paraId="1DC11029">
            <w:pPr>
              <w:adjustRightInd w:val="0"/>
              <w:snapToGrid w:val="0"/>
              <w:jc w:val="center"/>
              <w:rPr>
                <w:rFonts w:hint="eastAsia" w:ascii="方正仿宋_GBK" w:hAnsi="方正仿宋_GBK" w:eastAsia="方正仿宋_GBK" w:cs="方正仿宋_GBK"/>
                <w:color w:val="auto"/>
                <w:sz w:val="18"/>
                <w:szCs w:val="18"/>
                <w:lang w:val="en"/>
              </w:rPr>
            </w:pPr>
            <w:r>
              <w:rPr>
                <w:rFonts w:hint="eastAsia" w:ascii="方正仿宋_GBK" w:hAnsi="方正仿宋_GBK" w:eastAsia="方正仿宋_GBK" w:cs="方正仿宋_GBK"/>
                <w:color w:val="auto"/>
                <w:sz w:val="18"/>
                <w:szCs w:val="18"/>
                <w:lang w:val="en"/>
              </w:rPr>
              <w:t>-</w:t>
            </w:r>
          </w:p>
        </w:tc>
        <w:tc>
          <w:tcPr>
            <w:tcW w:w="1332" w:type="dxa"/>
            <w:shd w:val="clear" w:color="auto" w:fill="auto"/>
            <w:vAlign w:val="center"/>
          </w:tcPr>
          <w:p w14:paraId="165407DB">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未按要求组织劳动者进行上岗前职业健康检查；或体检因素与接触的职业病危害因素不匹配</w:t>
            </w:r>
          </w:p>
        </w:tc>
        <w:tc>
          <w:tcPr>
            <w:tcW w:w="1038" w:type="dxa"/>
            <w:shd w:val="clear" w:color="auto" w:fill="auto"/>
            <w:vAlign w:val="center"/>
          </w:tcPr>
          <w:p w14:paraId="20AC49A9">
            <w:pPr>
              <w:widowControl/>
              <w:adjustRightInd w:val="0"/>
              <w:snapToGrid w:val="0"/>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rPr>
              <w:t>不涉及岗前劳动者或接触的职业病危害因素无体检要求</w:t>
            </w:r>
          </w:p>
        </w:tc>
        <w:tc>
          <w:tcPr>
            <w:tcW w:w="442" w:type="dxa"/>
            <w:shd w:val="clear" w:color="auto" w:fill="auto"/>
            <w:vAlign w:val="center"/>
          </w:tcPr>
          <w:p w14:paraId="272819C9">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w:t>
            </w:r>
          </w:p>
        </w:tc>
        <w:tc>
          <w:tcPr>
            <w:tcW w:w="1035" w:type="dxa"/>
            <w:shd w:val="clear" w:color="auto" w:fill="auto"/>
            <w:vAlign w:val="center"/>
          </w:tcPr>
          <w:p w14:paraId="43D0C682">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11B2AD6C">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p w14:paraId="6373CD53">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□合理缺项</w:t>
            </w:r>
          </w:p>
        </w:tc>
        <w:tc>
          <w:tcPr>
            <w:tcW w:w="395" w:type="dxa"/>
            <w:vAlign w:val="center"/>
          </w:tcPr>
          <w:p w14:paraId="7D7CAC91">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37496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74" w:type="dxa"/>
            <w:vMerge w:val="continue"/>
            <w:vAlign w:val="center"/>
          </w:tcPr>
          <w:p w14:paraId="581DDA62">
            <w:pPr>
              <w:tabs>
                <w:tab w:val="left" w:pos="253"/>
              </w:tabs>
              <w:adjustRightInd w:val="0"/>
              <w:snapToGrid w:val="0"/>
              <w:rPr>
                <w:rFonts w:hint="eastAsia" w:ascii="方正仿宋_GBK" w:hAnsi="方正仿宋_GBK" w:eastAsia="方正仿宋_GBK" w:cs="方正仿宋_GBK"/>
                <w:color w:val="auto"/>
                <w:sz w:val="18"/>
                <w:szCs w:val="18"/>
              </w:rPr>
            </w:pPr>
          </w:p>
        </w:tc>
        <w:tc>
          <w:tcPr>
            <w:tcW w:w="861" w:type="dxa"/>
            <w:shd w:val="clear" w:color="auto" w:fill="auto"/>
            <w:vAlign w:val="center"/>
          </w:tcPr>
          <w:p w14:paraId="4EE264C3">
            <w:pPr>
              <w:numPr>
                <w:ilvl w:val="0"/>
                <w:numId w:val="1"/>
              </w:numPr>
              <w:tabs>
                <w:tab w:val="left" w:pos="253"/>
              </w:tabs>
              <w:adjustRightInd w:val="0"/>
              <w:snapToGrid w:val="0"/>
              <w:ind w:left="0" w:firstLine="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在岗期间职业健康检查</w:t>
            </w:r>
          </w:p>
        </w:tc>
        <w:tc>
          <w:tcPr>
            <w:tcW w:w="3337" w:type="dxa"/>
            <w:shd w:val="clear" w:color="auto" w:fill="auto"/>
            <w:vAlign w:val="center"/>
          </w:tcPr>
          <w:p w14:paraId="7AAF156F">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按照规定组织劳动者进行在岗期间的职业健康检查。</w:t>
            </w:r>
          </w:p>
        </w:tc>
        <w:tc>
          <w:tcPr>
            <w:tcW w:w="2071" w:type="dxa"/>
            <w:shd w:val="clear" w:color="auto" w:fill="auto"/>
            <w:vAlign w:val="center"/>
          </w:tcPr>
          <w:p w14:paraId="6BA6F480">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查阅在岗劳动者职业健康检查报告，重点检查粉尘、高毒物品或放射性因素等体检项目与体检周期是否满足《职业健康监护技术规范》(GBZ188)、《放射工作人员健康要求及监护规范》(GBZ98)等标准的要求</w:t>
            </w:r>
          </w:p>
        </w:tc>
        <w:tc>
          <w:tcPr>
            <w:tcW w:w="1478" w:type="dxa"/>
            <w:shd w:val="clear" w:color="auto" w:fill="auto"/>
            <w:vAlign w:val="center"/>
          </w:tcPr>
          <w:p w14:paraId="6DEFB3D1">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按要求为在岗员工进行在岗期间职业健康检查，且重点因素的体检项目与体检周期均符合要求</w:t>
            </w:r>
          </w:p>
        </w:tc>
        <w:tc>
          <w:tcPr>
            <w:tcW w:w="1329" w:type="dxa"/>
            <w:shd w:val="clear" w:color="auto" w:fill="auto"/>
            <w:vAlign w:val="center"/>
          </w:tcPr>
          <w:p w14:paraId="305AC76F">
            <w:pPr>
              <w:adjustRightInd w:val="0"/>
              <w:snapToGrid w:val="0"/>
              <w:jc w:val="center"/>
              <w:rPr>
                <w:rFonts w:hint="eastAsia" w:ascii="方正仿宋_GBK" w:hAnsi="方正仿宋_GBK" w:eastAsia="方正仿宋_GBK" w:cs="方正仿宋_GBK"/>
                <w:color w:val="auto"/>
                <w:sz w:val="18"/>
                <w:szCs w:val="18"/>
                <w:lang w:val="en"/>
              </w:rPr>
            </w:pPr>
            <w:r>
              <w:rPr>
                <w:rFonts w:hint="eastAsia" w:ascii="方正仿宋_GBK" w:hAnsi="方正仿宋_GBK" w:eastAsia="方正仿宋_GBK" w:cs="方正仿宋_GBK"/>
                <w:color w:val="auto"/>
                <w:sz w:val="18"/>
                <w:szCs w:val="18"/>
                <w:lang w:val="en"/>
              </w:rPr>
              <w:t>-</w:t>
            </w:r>
          </w:p>
        </w:tc>
        <w:tc>
          <w:tcPr>
            <w:tcW w:w="1332" w:type="dxa"/>
            <w:shd w:val="clear" w:color="auto" w:fill="auto"/>
            <w:vAlign w:val="center"/>
          </w:tcPr>
          <w:p w14:paraId="385350DD">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未按要求为在岗员工进行在岗期间职业健康检查；或重点因素的体检项目与体检周期不符合要求</w:t>
            </w:r>
          </w:p>
        </w:tc>
        <w:tc>
          <w:tcPr>
            <w:tcW w:w="1038" w:type="dxa"/>
            <w:shd w:val="clear" w:color="auto" w:fill="auto"/>
            <w:vAlign w:val="center"/>
          </w:tcPr>
          <w:p w14:paraId="22FC8420">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sz w:val="18"/>
                <w:szCs w:val="18"/>
                <w:lang w:val="en"/>
              </w:rPr>
              <w:t>-</w:t>
            </w:r>
          </w:p>
        </w:tc>
        <w:tc>
          <w:tcPr>
            <w:tcW w:w="442" w:type="dxa"/>
            <w:shd w:val="clear" w:color="auto" w:fill="auto"/>
            <w:vAlign w:val="center"/>
          </w:tcPr>
          <w:p w14:paraId="15B4B3E0">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w:t>
            </w:r>
          </w:p>
        </w:tc>
        <w:tc>
          <w:tcPr>
            <w:tcW w:w="1035" w:type="dxa"/>
            <w:shd w:val="clear" w:color="auto" w:fill="auto"/>
            <w:vAlign w:val="center"/>
          </w:tcPr>
          <w:p w14:paraId="5DDB0149">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5EB80BE4">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95" w:type="dxa"/>
            <w:vAlign w:val="center"/>
          </w:tcPr>
          <w:p w14:paraId="26303ED7">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39902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74" w:type="dxa"/>
            <w:vMerge w:val="continue"/>
            <w:vAlign w:val="center"/>
          </w:tcPr>
          <w:p w14:paraId="3BD7B12B">
            <w:pPr>
              <w:tabs>
                <w:tab w:val="left" w:pos="253"/>
              </w:tabs>
              <w:adjustRightInd w:val="0"/>
              <w:snapToGrid w:val="0"/>
              <w:rPr>
                <w:rFonts w:hint="eastAsia" w:ascii="方正仿宋_GBK" w:hAnsi="方正仿宋_GBK" w:eastAsia="方正仿宋_GBK" w:cs="方正仿宋_GBK"/>
                <w:color w:val="auto"/>
                <w:sz w:val="18"/>
                <w:szCs w:val="18"/>
              </w:rPr>
            </w:pPr>
          </w:p>
        </w:tc>
        <w:tc>
          <w:tcPr>
            <w:tcW w:w="861" w:type="dxa"/>
            <w:shd w:val="clear" w:color="auto" w:fill="auto"/>
            <w:vAlign w:val="center"/>
          </w:tcPr>
          <w:p w14:paraId="586F5548">
            <w:pPr>
              <w:numPr>
                <w:ilvl w:val="0"/>
                <w:numId w:val="1"/>
              </w:numPr>
              <w:tabs>
                <w:tab w:val="left" w:pos="253"/>
              </w:tabs>
              <w:adjustRightInd w:val="0"/>
              <w:snapToGrid w:val="0"/>
              <w:ind w:left="0" w:firstLine="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离岗时职业健康检查</w:t>
            </w:r>
          </w:p>
        </w:tc>
        <w:tc>
          <w:tcPr>
            <w:tcW w:w="3337" w:type="dxa"/>
            <w:shd w:val="clear" w:color="auto" w:fill="auto"/>
            <w:vAlign w:val="center"/>
          </w:tcPr>
          <w:p w14:paraId="1D33C6A6">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按照规定组织劳动者进行离岗时的职业健康检查。</w:t>
            </w:r>
          </w:p>
        </w:tc>
        <w:tc>
          <w:tcPr>
            <w:tcW w:w="2071" w:type="dxa"/>
            <w:shd w:val="clear" w:color="auto" w:fill="auto"/>
            <w:vAlign w:val="center"/>
          </w:tcPr>
          <w:p w14:paraId="247C4E8F">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查阅离岗劳动者的职业健康检查报告</w:t>
            </w:r>
          </w:p>
        </w:tc>
        <w:tc>
          <w:tcPr>
            <w:tcW w:w="1478" w:type="dxa"/>
            <w:shd w:val="clear" w:color="auto" w:fill="auto"/>
            <w:vAlign w:val="center"/>
          </w:tcPr>
          <w:p w14:paraId="3ECE27E2">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按要求为所有离岗劳动者进行职业健康检查</w:t>
            </w:r>
          </w:p>
        </w:tc>
        <w:tc>
          <w:tcPr>
            <w:tcW w:w="1329" w:type="dxa"/>
            <w:shd w:val="clear" w:color="auto" w:fill="auto"/>
            <w:vAlign w:val="center"/>
          </w:tcPr>
          <w:p w14:paraId="1F20AF0F">
            <w:pPr>
              <w:adjustRightInd w:val="0"/>
              <w:snapToGrid w:val="0"/>
              <w:rPr>
                <w:rFonts w:hint="eastAsia" w:ascii="方正仿宋_GBK" w:hAnsi="方正仿宋_GBK" w:eastAsia="方正仿宋_GBK" w:cs="方正仿宋_GBK"/>
                <w:color w:val="auto"/>
                <w:sz w:val="18"/>
                <w:szCs w:val="18"/>
                <w:lang w:val="en"/>
              </w:rPr>
            </w:pPr>
            <w:r>
              <w:rPr>
                <w:rFonts w:hint="eastAsia" w:ascii="方正仿宋_GBK" w:hAnsi="方正仿宋_GBK" w:eastAsia="方正仿宋_GBK" w:cs="方正仿宋_GBK"/>
                <w:color w:val="auto"/>
                <w:sz w:val="18"/>
                <w:szCs w:val="18"/>
              </w:rPr>
              <w:t>未完成全部离岗劳动者职业健康检查，但对于不配合的离岗劳动者通过邮寄、微信、电子邮箱、登报等方式进行了告知，并留存相关证明材料。</w:t>
            </w:r>
          </w:p>
        </w:tc>
        <w:tc>
          <w:tcPr>
            <w:tcW w:w="1332" w:type="dxa"/>
            <w:shd w:val="clear" w:color="auto" w:fill="auto"/>
            <w:vAlign w:val="center"/>
          </w:tcPr>
          <w:p w14:paraId="095CDF3F">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未按要求为离岗劳动者进行职业健康检查</w:t>
            </w:r>
          </w:p>
        </w:tc>
        <w:tc>
          <w:tcPr>
            <w:tcW w:w="1038" w:type="dxa"/>
            <w:shd w:val="clear" w:color="auto" w:fill="auto"/>
            <w:vAlign w:val="center"/>
          </w:tcPr>
          <w:p w14:paraId="705F4C03">
            <w:pPr>
              <w:widowControl/>
              <w:adjustRightInd w:val="0"/>
              <w:snapToGrid w:val="0"/>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rPr>
              <w:t>不涉及离岗人员或接触的职业病危害因素无离岗体检要求</w:t>
            </w:r>
          </w:p>
        </w:tc>
        <w:tc>
          <w:tcPr>
            <w:tcW w:w="442" w:type="dxa"/>
            <w:shd w:val="clear" w:color="auto" w:fill="auto"/>
            <w:vAlign w:val="center"/>
          </w:tcPr>
          <w:p w14:paraId="79653256">
            <w:pPr>
              <w:widowControl/>
              <w:adjustRightInd w:val="0"/>
              <w:snapToGrid w:val="0"/>
              <w:jc w:val="center"/>
              <w:rPr>
                <w:rFonts w:hint="eastAsia" w:ascii="方正仿宋_GBK" w:hAnsi="方正仿宋_GBK" w:eastAsia="方正仿宋_GBK" w:cs="方正仿宋_GBK"/>
                <w:strike/>
                <w:color w:val="auto"/>
                <w:kern w:val="0"/>
                <w:sz w:val="18"/>
                <w:szCs w:val="18"/>
              </w:rPr>
            </w:pPr>
            <w:r>
              <w:rPr>
                <w:rFonts w:hint="eastAsia" w:ascii="方正仿宋_GBK" w:hAnsi="方正仿宋_GBK" w:eastAsia="方正仿宋_GBK" w:cs="方正仿宋_GBK"/>
                <w:color w:val="auto"/>
                <w:kern w:val="0"/>
                <w:sz w:val="18"/>
                <w:szCs w:val="18"/>
              </w:rPr>
              <w:t>10</w:t>
            </w:r>
          </w:p>
        </w:tc>
        <w:tc>
          <w:tcPr>
            <w:tcW w:w="1035" w:type="dxa"/>
            <w:shd w:val="clear" w:color="auto" w:fill="auto"/>
            <w:vAlign w:val="center"/>
          </w:tcPr>
          <w:p w14:paraId="65C20D51">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419650A8">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□基本符合</w:t>
            </w:r>
          </w:p>
          <w:p w14:paraId="77A941E9">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p w14:paraId="7CE7C695">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□合理缺项</w:t>
            </w:r>
          </w:p>
        </w:tc>
        <w:tc>
          <w:tcPr>
            <w:tcW w:w="395" w:type="dxa"/>
            <w:vAlign w:val="center"/>
          </w:tcPr>
          <w:p w14:paraId="67471512">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7C32E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74" w:type="dxa"/>
            <w:vMerge w:val="continue"/>
            <w:vAlign w:val="center"/>
          </w:tcPr>
          <w:p w14:paraId="13069100">
            <w:pPr>
              <w:tabs>
                <w:tab w:val="left" w:pos="253"/>
              </w:tabs>
              <w:adjustRightInd w:val="0"/>
              <w:snapToGrid w:val="0"/>
              <w:rPr>
                <w:rFonts w:hint="eastAsia" w:ascii="方正仿宋_GBK" w:hAnsi="方正仿宋_GBK" w:eastAsia="方正仿宋_GBK" w:cs="方正仿宋_GBK"/>
                <w:color w:val="auto"/>
                <w:sz w:val="18"/>
                <w:szCs w:val="18"/>
              </w:rPr>
            </w:pPr>
          </w:p>
        </w:tc>
        <w:tc>
          <w:tcPr>
            <w:tcW w:w="861" w:type="dxa"/>
            <w:shd w:val="clear" w:color="auto" w:fill="auto"/>
            <w:vAlign w:val="center"/>
          </w:tcPr>
          <w:p w14:paraId="0D10FF16">
            <w:pPr>
              <w:numPr>
                <w:ilvl w:val="0"/>
                <w:numId w:val="1"/>
              </w:numPr>
              <w:tabs>
                <w:tab w:val="left" w:pos="320"/>
              </w:tabs>
              <w:adjustRightInd w:val="0"/>
              <w:snapToGrid w:val="0"/>
              <w:ind w:left="0" w:firstLine="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体检结果处置和告知</w:t>
            </w:r>
          </w:p>
        </w:tc>
        <w:tc>
          <w:tcPr>
            <w:tcW w:w="3337" w:type="dxa"/>
            <w:shd w:val="clear" w:color="auto" w:fill="auto"/>
            <w:vAlign w:val="center"/>
          </w:tcPr>
          <w:p w14:paraId="2BE4ED21">
            <w:pPr>
              <w:widowControl/>
              <w:numPr>
                <w:ilvl w:val="0"/>
                <w:numId w:val="2"/>
              </w:num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对需要复查的劳动者，按照职业健康检查机构要求的时间安排复查和医学观察。</w:t>
            </w:r>
          </w:p>
          <w:p w14:paraId="206EC48C">
            <w:pPr>
              <w:widowControl/>
              <w:numPr>
                <w:ilvl w:val="0"/>
                <w:numId w:val="2"/>
              </w:num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不得安排有职业禁忌的劳动者从事其所禁忌的作业。对有职业禁忌的劳动者，调离或者暂时脱离原工作岗位。</w:t>
            </w:r>
          </w:p>
          <w:p w14:paraId="0285A1D1">
            <w:pPr>
              <w:widowControl/>
              <w:numPr>
                <w:ilvl w:val="0"/>
                <w:numId w:val="2"/>
              </w:num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对疑似职业病病人，按照职业健康检查机构的建议安排其进行医学观察或者职业病诊断。</w:t>
            </w:r>
          </w:p>
          <w:p w14:paraId="460FC649">
            <w:pPr>
              <w:widowControl/>
              <w:numPr>
                <w:ilvl w:val="0"/>
                <w:numId w:val="2"/>
              </w:num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及时将职业健康检查结果及职业健康检查机构的建议以书面形式如实告知劳动者。</w:t>
            </w:r>
          </w:p>
        </w:tc>
        <w:tc>
          <w:tcPr>
            <w:tcW w:w="2071" w:type="dxa"/>
            <w:shd w:val="clear" w:color="auto" w:fill="auto"/>
            <w:vAlign w:val="center"/>
          </w:tcPr>
          <w:p w14:paraId="6BE7E773">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kern w:val="0"/>
                <w:sz w:val="18"/>
                <w:szCs w:val="18"/>
              </w:rPr>
              <w:t>查阅体检报告，核查</w:t>
            </w:r>
            <w:r>
              <w:rPr>
                <w:rFonts w:hint="eastAsia" w:ascii="方正仿宋_GBK" w:hAnsi="方正仿宋_GBK" w:eastAsia="方正仿宋_GBK" w:cs="方正仿宋_GBK"/>
                <w:color w:val="auto"/>
                <w:sz w:val="18"/>
                <w:szCs w:val="18"/>
              </w:rPr>
              <w:t>需复查劳动者复查情况、职业禁忌劳动者的调岗情况、疑似职业病病人的诊断情况、</w:t>
            </w:r>
            <w:r>
              <w:rPr>
                <w:rFonts w:hint="eastAsia" w:ascii="方正仿宋_GBK" w:hAnsi="方正仿宋_GBK" w:eastAsia="方正仿宋_GBK" w:cs="方正仿宋_GBK"/>
                <w:color w:val="auto"/>
                <w:kern w:val="0"/>
                <w:sz w:val="18"/>
                <w:szCs w:val="18"/>
              </w:rPr>
              <w:t>劳动者职业健康检查结果书面告知情况</w:t>
            </w:r>
          </w:p>
        </w:tc>
        <w:tc>
          <w:tcPr>
            <w:tcW w:w="1478" w:type="dxa"/>
            <w:shd w:val="clear" w:color="auto" w:fill="auto"/>
            <w:vAlign w:val="center"/>
          </w:tcPr>
          <w:p w14:paraId="0E828EDD">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(1)按要求将复查对象已按要求复查，职业禁忌人员调离禁忌岗位，疑似职业病已按要求进行诊断；不涉及禁忌、复查对象、疑似职业病的视同为符合</w:t>
            </w:r>
          </w:p>
          <w:p w14:paraId="0F865575">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kern w:val="0"/>
                <w:sz w:val="18"/>
                <w:szCs w:val="18"/>
              </w:rPr>
              <w:t>(2)按要求将职业健康检查结果书面告知劳动者</w:t>
            </w:r>
          </w:p>
        </w:tc>
        <w:tc>
          <w:tcPr>
            <w:tcW w:w="1329" w:type="dxa"/>
            <w:shd w:val="clear" w:color="auto" w:fill="auto"/>
            <w:vAlign w:val="center"/>
          </w:tcPr>
          <w:p w14:paraId="2438CE83">
            <w:pPr>
              <w:adjustRightInd w:val="0"/>
              <w:snapToGrid w:val="0"/>
              <w:jc w:val="center"/>
              <w:rPr>
                <w:rFonts w:hint="eastAsia" w:ascii="方正仿宋_GBK" w:hAnsi="方正仿宋_GBK" w:eastAsia="方正仿宋_GBK" w:cs="方正仿宋_GBK"/>
                <w:color w:val="auto"/>
                <w:sz w:val="18"/>
                <w:szCs w:val="18"/>
                <w:lang w:val="en"/>
              </w:rPr>
            </w:pPr>
            <w:r>
              <w:rPr>
                <w:rFonts w:hint="eastAsia" w:ascii="方正仿宋_GBK" w:hAnsi="方正仿宋_GBK" w:eastAsia="方正仿宋_GBK" w:cs="方正仿宋_GBK"/>
                <w:color w:val="auto"/>
                <w:sz w:val="18"/>
                <w:szCs w:val="18"/>
                <w:lang w:val="en"/>
              </w:rPr>
              <w:t>-</w:t>
            </w:r>
          </w:p>
        </w:tc>
        <w:tc>
          <w:tcPr>
            <w:tcW w:w="1332" w:type="dxa"/>
            <w:shd w:val="clear" w:color="auto" w:fill="auto"/>
            <w:vAlign w:val="center"/>
          </w:tcPr>
          <w:p w14:paraId="4AA00E17">
            <w:pPr>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(1)未按要求对复查对象进行复查，或禁忌人员进行调岗，或未按要求对疑似职业病进行诊断</w:t>
            </w:r>
          </w:p>
          <w:p w14:paraId="54AC6B4F">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kern w:val="0"/>
                <w:sz w:val="18"/>
                <w:szCs w:val="18"/>
              </w:rPr>
              <w:t>(2)未按要求将职业健康检查结果书面告知劳动者</w:t>
            </w:r>
          </w:p>
        </w:tc>
        <w:tc>
          <w:tcPr>
            <w:tcW w:w="1038" w:type="dxa"/>
            <w:shd w:val="clear" w:color="auto" w:fill="auto"/>
            <w:vAlign w:val="center"/>
          </w:tcPr>
          <w:p w14:paraId="4060D1C9">
            <w:pPr>
              <w:widowControl/>
              <w:adjustRightInd w:val="0"/>
              <w:snapToGrid w:val="0"/>
              <w:jc w:val="center"/>
              <w:rPr>
                <w:rFonts w:hint="eastAsia" w:ascii="方正仿宋_GBK" w:hAnsi="方正仿宋_GBK" w:eastAsia="方正仿宋_GBK" w:cs="方正仿宋_GBK"/>
                <w:color w:val="auto"/>
                <w:kern w:val="0"/>
                <w:sz w:val="18"/>
                <w:szCs w:val="18"/>
                <w:lang w:val="en"/>
              </w:rPr>
            </w:pPr>
            <w:r>
              <w:rPr>
                <w:rFonts w:hint="eastAsia" w:ascii="方正仿宋_GBK" w:hAnsi="方正仿宋_GBK" w:eastAsia="方正仿宋_GBK" w:cs="方正仿宋_GBK"/>
                <w:color w:val="auto"/>
                <w:kern w:val="0"/>
                <w:sz w:val="18"/>
                <w:szCs w:val="18"/>
                <w:lang w:val="en"/>
              </w:rPr>
              <w:t>-</w:t>
            </w:r>
          </w:p>
        </w:tc>
        <w:tc>
          <w:tcPr>
            <w:tcW w:w="442" w:type="dxa"/>
            <w:shd w:val="clear" w:color="auto" w:fill="auto"/>
            <w:vAlign w:val="center"/>
          </w:tcPr>
          <w:p w14:paraId="26B4E7D5">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20</w:t>
            </w:r>
          </w:p>
        </w:tc>
        <w:tc>
          <w:tcPr>
            <w:tcW w:w="1035" w:type="dxa"/>
            <w:shd w:val="clear" w:color="auto" w:fill="auto"/>
            <w:vAlign w:val="center"/>
          </w:tcPr>
          <w:p w14:paraId="12FF0049">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4C2CFA2A">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tc>
        <w:tc>
          <w:tcPr>
            <w:tcW w:w="395" w:type="dxa"/>
            <w:vAlign w:val="center"/>
          </w:tcPr>
          <w:p w14:paraId="4A0B4A14">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6DBAD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74" w:type="dxa"/>
            <w:vAlign w:val="center"/>
          </w:tcPr>
          <w:p w14:paraId="6421BDCB">
            <w:pPr>
              <w:tabs>
                <w:tab w:val="left" w:pos="253"/>
              </w:tabs>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kern w:val="0"/>
                <w:sz w:val="18"/>
                <w:szCs w:val="18"/>
              </w:rPr>
              <w:t>十、应急救援</w:t>
            </w:r>
          </w:p>
        </w:tc>
        <w:tc>
          <w:tcPr>
            <w:tcW w:w="861" w:type="dxa"/>
            <w:vAlign w:val="center"/>
          </w:tcPr>
          <w:p w14:paraId="3E2E7142">
            <w:pPr>
              <w:numPr>
                <w:ilvl w:val="0"/>
                <w:numId w:val="1"/>
              </w:numPr>
              <w:tabs>
                <w:tab w:val="left" w:pos="320"/>
              </w:tabs>
              <w:adjustRightInd w:val="0"/>
              <w:snapToGrid w:val="0"/>
              <w:ind w:left="0" w:firstLine="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应急救援预案与演练</w:t>
            </w:r>
          </w:p>
        </w:tc>
        <w:tc>
          <w:tcPr>
            <w:tcW w:w="3337" w:type="dxa"/>
            <w:vAlign w:val="center"/>
          </w:tcPr>
          <w:p w14:paraId="1DD81D22">
            <w:pPr>
              <w:widowControl/>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(1)建立健全急性职业病危害事故应急救援预案，并定期演练。</w:t>
            </w:r>
          </w:p>
          <w:p w14:paraId="4401A26C">
            <w:pPr>
              <w:widowControl/>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(2)可能发生急性职业损伤的有毒、有害工作场所，应当设置报警装置，配置现场急救用品、冲洗设备、应急撤离通道和必要的泄险区；建立应急救援设施台账，定期对应急救援设施进行维护，确保正常使用。</w:t>
            </w:r>
          </w:p>
        </w:tc>
        <w:tc>
          <w:tcPr>
            <w:tcW w:w="2071" w:type="dxa"/>
            <w:vAlign w:val="center"/>
          </w:tcPr>
          <w:p w14:paraId="4C3788A5">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(1)查阅应急救援预案，预案应明确责任人、组织机构、事故发生后的疏通线路、技术方案、救援设施的维护和启动、救护方案等；查阅演练记录</w:t>
            </w:r>
          </w:p>
          <w:p w14:paraId="08F6B8E7">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(2)现场随机抽查报警装置，现场急救用品、冲洗设备、应急撤离通道和必要的泄险区的设置和运行情况</w:t>
            </w:r>
          </w:p>
        </w:tc>
        <w:tc>
          <w:tcPr>
            <w:tcW w:w="1478" w:type="dxa"/>
            <w:vAlign w:val="center"/>
          </w:tcPr>
          <w:p w14:paraId="1E2729E6">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kern w:val="0"/>
                <w:sz w:val="18"/>
                <w:szCs w:val="18"/>
              </w:rPr>
              <w:t>(1)建立有急性职业病危害事故应急救援预案，预案内容全面，具有可操作性；</w:t>
            </w:r>
            <w:r>
              <w:rPr>
                <w:rFonts w:hint="eastAsia" w:ascii="方正仿宋_GBK" w:hAnsi="方正仿宋_GBK" w:eastAsia="方正仿宋_GBK" w:cs="方正仿宋_GBK"/>
                <w:color w:val="auto"/>
                <w:sz w:val="18"/>
                <w:szCs w:val="18"/>
              </w:rPr>
              <w:t>定期进行应急救援预案演练，且有演练记录，记录内含改进建议</w:t>
            </w:r>
          </w:p>
          <w:p w14:paraId="26D45072">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(2)</w:t>
            </w:r>
            <w:r>
              <w:rPr>
                <w:rFonts w:hint="eastAsia" w:ascii="方正仿宋_GBK" w:hAnsi="方正仿宋_GBK" w:eastAsia="方正仿宋_GBK" w:cs="方正仿宋_GBK"/>
                <w:color w:val="auto"/>
                <w:kern w:val="0"/>
                <w:sz w:val="18"/>
                <w:szCs w:val="18"/>
              </w:rPr>
              <w:t>应急设施设置齐全，设置位置等符合要求，且定期进行维护，正常运行</w:t>
            </w:r>
          </w:p>
        </w:tc>
        <w:tc>
          <w:tcPr>
            <w:tcW w:w="1329" w:type="dxa"/>
            <w:vAlign w:val="center"/>
          </w:tcPr>
          <w:p w14:paraId="6177FB0A">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kern w:val="0"/>
                <w:sz w:val="18"/>
                <w:szCs w:val="18"/>
              </w:rPr>
              <w:t>(1)建立有急性职业病危害事故应急救援预案，</w:t>
            </w:r>
            <w:r>
              <w:rPr>
                <w:rFonts w:hint="eastAsia" w:ascii="方正仿宋_GBK" w:hAnsi="方正仿宋_GBK" w:eastAsia="方正仿宋_GBK" w:cs="方正仿宋_GBK"/>
                <w:color w:val="auto"/>
                <w:sz w:val="18"/>
                <w:szCs w:val="18"/>
              </w:rPr>
              <w:t>预案内容较全面，具有一定的可操作性；定期进行应急救援预案演练，但演练记录内容不完整，缺少改进建议等</w:t>
            </w:r>
          </w:p>
          <w:p w14:paraId="1108A5F8">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kern w:val="0"/>
                <w:sz w:val="18"/>
                <w:szCs w:val="18"/>
              </w:rPr>
              <w:t>(2)配备有应急设施，但种类不全或个别设施维护不到位</w:t>
            </w:r>
          </w:p>
        </w:tc>
        <w:tc>
          <w:tcPr>
            <w:tcW w:w="1332" w:type="dxa"/>
            <w:vAlign w:val="center"/>
          </w:tcPr>
          <w:p w14:paraId="1FDD9A0A">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kern w:val="0"/>
                <w:sz w:val="18"/>
                <w:szCs w:val="18"/>
              </w:rPr>
              <w:t>(1)未建立急性职业病危害事故应急救援预案</w:t>
            </w:r>
            <w:r>
              <w:rPr>
                <w:rFonts w:hint="eastAsia" w:ascii="方正仿宋_GBK" w:hAnsi="方正仿宋_GBK" w:eastAsia="方正仿宋_GBK" w:cs="方正仿宋_GBK"/>
                <w:color w:val="auto"/>
                <w:sz w:val="18"/>
                <w:szCs w:val="18"/>
              </w:rPr>
              <w:t>或不具有可操作性；或未进行应急救援预案演练</w:t>
            </w:r>
          </w:p>
          <w:p w14:paraId="02F7421D">
            <w:pPr>
              <w:adjustRightInd w:val="0"/>
              <w:snapToGrid w:val="0"/>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(2)</w:t>
            </w:r>
            <w:r>
              <w:rPr>
                <w:rFonts w:hint="eastAsia" w:ascii="方正仿宋_GBK" w:hAnsi="方正仿宋_GBK" w:eastAsia="方正仿宋_GBK" w:cs="方正仿宋_GBK"/>
                <w:color w:val="auto"/>
                <w:kern w:val="0"/>
                <w:sz w:val="18"/>
                <w:szCs w:val="18"/>
              </w:rPr>
              <w:t>未配备应急设施；或未定期进行维护，不能正常运行</w:t>
            </w:r>
          </w:p>
        </w:tc>
        <w:tc>
          <w:tcPr>
            <w:tcW w:w="1038" w:type="dxa"/>
            <w:vAlign w:val="center"/>
          </w:tcPr>
          <w:p w14:paraId="3E6C5D05">
            <w:pPr>
              <w:widowControl/>
              <w:adjustRightInd w:val="0"/>
              <w:snapToGrid w:val="0"/>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不涉及急性职业病危害事故</w:t>
            </w:r>
          </w:p>
        </w:tc>
        <w:tc>
          <w:tcPr>
            <w:tcW w:w="442" w:type="dxa"/>
            <w:vAlign w:val="center"/>
          </w:tcPr>
          <w:p w14:paraId="3C7C67F8">
            <w:pPr>
              <w:widowControl/>
              <w:adjustRightInd w:val="0"/>
              <w:snapToGrid w:val="0"/>
              <w:jc w:val="center"/>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kern w:val="0"/>
                <w:sz w:val="18"/>
                <w:szCs w:val="18"/>
              </w:rPr>
              <w:t>15</w:t>
            </w:r>
          </w:p>
        </w:tc>
        <w:tc>
          <w:tcPr>
            <w:tcW w:w="1035" w:type="dxa"/>
            <w:vAlign w:val="center"/>
          </w:tcPr>
          <w:p w14:paraId="5871FCCF">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□符合</w:t>
            </w:r>
          </w:p>
          <w:p w14:paraId="0F966D23">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□基本符合</w:t>
            </w:r>
          </w:p>
          <w:p w14:paraId="413A7F13">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□不符合</w:t>
            </w:r>
          </w:p>
          <w:p w14:paraId="73059997">
            <w:pPr>
              <w:adjustRightInd w:val="0"/>
              <w:snapToGrid w:val="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□合理缺项</w:t>
            </w:r>
          </w:p>
        </w:tc>
        <w:tc>
          <w:tcPr>
            <w:tcW w:w="395" w:type="dxa"/>
            <w:vAlign w:val="center"/>
          </w:tcPr>
          <w:p w14:paraId="7D80C3BD">
            <w:pPr>
              <w:widowControl/>
              <w:adjustRightInd w:val="0"/>
              <w:snapToGrid w:val="0"/>
              <w:jc w:val="center"/>
              <w:rPr>
                <w:rFonts w:hint="eastAsia" w:ascii="方正仿宋_GBK" w:hAnsi="方正仿宋_GBK" w:eastAsia="方正仿宋_GBK" w:cs="方正仿宋_GBK"/>
                <w:color w:val="auto"/>
                <w:kern w:val="0"/>
                <w:sz w:val="18"/>
                <w:szCs w:val="18"/>
              </w:rPr>
            </w:pPr>
          </w:p>
        </w:tc>
      </w:tr>
      <w:tr w14:paraId="732FC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7" w:hRule="atLeast"/>
        </w:trPr>
        <w:tc>
          <w:tcPr>
            <w:tcW w:w="13992" w:type="dxa"/>
            <w:gridSpan w:val="11"/>
            <w:vAlign w:val="center"/>
          </w:tcPr>
          <w:p w14:paraId="3EF91615">
            <w:pPr>
              <w:widowControl/>
              <w:adjustRightInd w:val="0"/>
              <w:snapToGrid w:val="0"/>
              <w:jc w:val="left"/>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b/>
                <w:bCs/>
                <w:color w:val="auto"/>
                <w:kern w:val="0"/>
                <w:sz w:val="18"/>
                <w:szCs w:val="18"/>
              </w:rPr>
              <w:t>合理缺项后满分分值:合理缺项后实际得分：最终得分（标化得分=实际得分/满分分值×100）：</w:t>
            </w:r>
          </w:p>
        </w:tc>
      </w:tr>
      <w:tr w14:paraId="5A0EB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3992" w:type="dxa"/>
            <w:gridSpan w:val="11"/>
            <w:vAlign w:val="center"/>
          </w:tcPr>
          <w:p w14:paraId="1DB5C6D4">
            <w:pPr>
              <w:widowControl/>
              <w:adjustRightInd w:val="0"/>
              <w:snapToGrid w:val="0"/>
              <w:jc w:val="center"/>
              <w:rPr>
                <w:rFonts w:hint="eastAsia" w:ascii="方正仿宋_GBK" w:hAnsi="方正仿宋_GBK" w:eastAsia="方正仿宋_GBK" w:cs="方正仿宋_GBK"/>
                <w:b/>
                <w:bCs/>
                <w:color w:val="auto"/>
                <w:kern w:val="0"/>
                <w:sz w:val="18"/>
                <w:szCs w:val="18"/>
              </w:rPr>
            </w:pPr>
            <w:r>
              <w:rPr>
                <w:rFonts w:hint="eastAsia" w:ascii="方正仿宋_GBK" w:hAnsi="方正仿宋_GBK" w:eastAsia="方正仿宋_GBK" w:cs="方正仿宋_GBK"/>
                <w:b/>
                <w:bCs/>
                <w:color w:val="auto"/>
                <w:kern w:val="0"/>
                <w:sz w:val="24"/>
              </w:rPr>
              <w:t>合理缺项情况说明</w:t>
            </w:r>
          </w:p>
        </w:tc>
      </w:tr>
      <w:tr w14:paraId="204A9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535" w:type="dxa"/>
            <w:gridSpan w:val="2"/>
            <w:vAlign w:val="center"/>
          </w:tcPr>
          <w:p w14:paraId="3596C549">
            <w:pPr>
              <w:widowControl/>
              <w:adjustRightInd w:val="0"/>
              <w:snapToGrid w:val="0"/>
              <w:jc w:val="center"/>
              <w:rPr>
                <w:rFonts w:hint="eastAsia" w:ascii="方正仿宋_GBK" w:hAnsi="方正仿宋_GBK" w:eastAsia="方正仿宋_GBK" w:cs="方正仿宋_GBK"/>
                <w:b/>
                <w:bCs/>
                <w:color w:val="auto"/>
                <w:kern w:val="0"/>
                <w:sz w:val="18"/>
                <w:szCs w:val="18"/>
              </w:rPr>
            </w:pPr>
            <w:r>
              <w:rPr>
                <w:rFonts w:hint="eastAsia" w:ascii="方正仿宋_GBK" w:hAnsi="方正仿宋_GBK" w:eastAsia="方正仿宋_GBK" w:cs="方正仿宋_GBK"/>
                <w:b/>
                <w:bCs/>
                <w:color w:val="auto"/>
                <w:kern w:val="0"/>
                <w:sz w:val="18"/>
                <w:szCs w:val="18"/>
              </w:rPr>
              <w:t>项目</w:t>
            </w:r>
          </w:p>
          <w:p w14:paraId="39F23D29">
            <w:pPr>
              <w:widowControl/>
              <w:adjustRightInd w:val="0"/>
              <w:snapToGrid w:val="0"/>
              <w:jc w:val="center"/>
              <w:rPr>
                <w:rFonts w:hint="eastAsia" w:ascii="方正仿宋_GBK" w:hAnsi="方正仿宋_GBK" w:eastAsia="方正仿宋_GBK" w:cs="方正仿宋_GBK"/>
                <w:b/>
                <w:bCs/>
                <w:color w:val="auto"/>
                <w:kern w:val="0"/>
                <w:sz w:val="18"/>
                <w:szCs w:val="18"/>
              </w:rPr>
            </w:pPr>
            <w:r>
              <w:rPr>
                <w:rFonts w:hint="eastAsia" w:ascii="方正仿宋_GBK" w:hAnsi="方正仿宋_GBK" w:eastAsia="方正仿宋_GBK" w:cs="方正仿宋_GBK"/>
                <w:b/>
                <w:bCs/>
                <w:color w:val="auto"/>
                <w:kern w:val="0"/>
                <w:sz w:val="18"/>
                <w:szCs w:val="18"/>
              </w:rPr>
              <w:t>（编号和项目名）</w:t>
            </w:r>
          </w:p>
        </w:tc>
        <w:tc>
          <w:tcPr>
            <w:tcW w:w="12457" w:type="dxa"/>
            <w:gridSpan w:val="9"/>
            <w:vAlign w:val="center"/>
          </w:tcPr>
          <w:p w14:paraId="7477C252">
            <w:pPr>
              <w:widowControl/>
              <w:adjustRightInd w:val="0"/>
              <w:snapToGrid w:val="0"/>
              <w:jc w:val="center"/>
              <w:rPr>
                <w:rFonts w:hint="eastAsia" w:ascii="方正仿宋_GBK" w:hAnsi="方正仿宋_GBK" w:eastAsia="方正仿宋_GBK" w:cs="方正仿宋_GBK"/>
                <w:b/>
                <w:bCs/>
                <w:color w:val="auto"/>
                <w:kern w:val="0"/>
                <w:sz w:val="18"/>
                <w:szCs w:val="18"/>
              </w:rPr>
            </w:pPr>
            <w:r>
              <w:rPr>
                <w:rFonts w:hint="eastAsia" w:ascii="方正仿宋_GBK" w:hAnsi="方正仿宋_GBK" w:eastAsia="方正仿宋_GBK" w:cs="方正仿宋_GBK"/>
                <w:b/>
                <w:bCs/>
                <w:color w:val="auto"/>
                <w:kern w:val="0"/>
                <w:sz w:val="18"/>
                <w:szCs w:val="18"/>
              </w:rPr>
              <w:t>合理缺项情况说明</w:t>
            </w:r>
          </w:p>
        </w:tc>
      </w:tr>
      <w:tr w14:paraId="20E83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535" w:type="dxa"/>
            <w:gridSpan w:val="2"/>
            <w:vAlign w:val="center"/>
          </w:tcPr>
          <w:p w14:paraId="5B06305D">
            <w:pPr>
              <w:widowControl/>
              <w:adjustRightInd w:val="0"/>
              <w:snapToGrid w:val="0"/>
              <w:jc w:val="center"/>
              <w:rPr>
                <w:rFonts w:hint="eastAsia" w:ascii="方正仿宋_GBK" w:hAnsi="方正仿宋_GBK" w:eastAsia="方正仿宋_GBK" w:cs="方正仿宋_GBK"/>
                <w:b/>
                <w:bCs/>
                <w:color w:val="auto"/>
                <w:kern w:val="0"/>
                <w:sz w:val="18"/>
                <w:szCs w:val="18"/>
              </w:rPr>
            </w:pPr>
          </w:p>
        </w:tc>
        <w:tc>
          <w:tcPr>
            <w:tcW w:w="12457" w:type="dxa"/>
            <w:gridSpan w:val="9"/>
            <w:vAlign w:val="center"/>
          </w:tcPr>
          <w:p w14:paraId="51F3F47A">
            <w:pPr>
              <w:widowControl/>
              <w:adjustRightInd w:val="0"/>
              <w:snapToGrid w:val="0"/>
              <w:rPr>
                <w:rFonts w:hint="eastAsia" w:ascii="方正仿宋_GBK" w:hAnsi="方正仿宋_GBK" w:eastAsia="方正仿宋_GBK" w:cs="方正仿宋_GBK"/>
                <w:b/>
                <w:bCs/>
                <w:color w:val="auto"/>
                <w:kern w:val="0"/>
                <w:sz w:val="18"/>
                <w:szCs w:val="18"/>
              </w:rPr>
            </w:pPr>
          </w:p>
        </w:tc>
      </w:tr>
      <w:tr w14:paraId="40490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535" w:type="dxa"/>
            <w:gridSpan w:val="2"/>
            <w:vAlign w:val="center"/>
          </w:tcPr>
          <w:p w14:paraId="33A22DEF">
            <w:pPr>
              <w:widowControl/>
              <w:adjustRightInd w:val="0"/>
              <w:snapToGrid w:val="0"/>
              <w:jc w:val="center"/>
              <w:rPr>
                <w:rFonts w:hint="eastAsia" w:ascii="方正仿宋_GBK" w:hAnsi="方正仿宋_GBK" w:eastAsia="方正仿宋_GBK" w:cs="方正仿宋_GBK"/>
                <w:b/>
                <w:bCs/>
                <w:color w:val="auto"/>
                <w:kern w:val="0"/>
                <w:sz w:val="18"/>
                <w:szCs w:val="18"/>
              </w:rPr>
            </w:pPr>
          </w:p>
        </w:tc>
        <w:tc>
          <w:tcPr>
            <w:tcW w:w="12457" w:type="dxa"/>
            <w:gridSpan w:val="9"/>
            <w:vAlign w:val="center"/>
          </w:tcPr>
          <w:p w14:paraId="60408B7E">
            <w:pPr>
              <w:widowControl/>
              <w:adjustRightInd w:val="0"/>
              <w:snapToGrid w:val="0"/>
              <w:rPr>
                <w:rFonts w:hint="eastAsia" w:ascii="方正仿宋_GBK" w:hAnsi="方正仿宋_GBK" w:eastAsia="方正仿宋_GBK" w:cs="方正仿宋_GBK"/>
                <w:b/>
                <w:bCs/>
                <w:color w:val="auto"/>
                <w:kern w:val="0"/>
                <w:sz w:val="18"/>
                <w:szCs w:val="18"/>
              </w:rPr>
            </w:pPr>
          </w:p>
        </w:tc>
      </w:tr>
      <w:tr w14:paraId="07E8D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535" w:type="dxa"/>
            <w:gridSpan w:val="2"/>
            <w:vAlign w:val="center"/>
          </w:tcPr>
          <w:p w14:paraId="00E7E7C5">
            <w:pPr>
              <w:widowControl/>
              <w:adjustRightInd w:val="0"/>
              <w:snapToGrid w:val="0"/>
              <w:jc w:val="center"/>
              <w:rPr>
                <w:rFonts w:hint="eastAsia" w:ascii="方正仿宋_GBK" w:hAnsi="方正仿宋_GBK" w:eastAsia="方正仿宋_GBK" w:cs="方正仿宋_GBK"/>
                <w:b/>
                <w:bCs/>
                <w:color w:val="auto"/>
                <w:kern w:val="0"/>
                <w:sz w:val="18"/>
                <w:szCs w:val="18"/>
              </w:rPr>
            </w:pPr>
          </w:p>
        </w:tc>
        <w:tc>
          <w:tcPr>
            <w:tcW w:w="12457" w:type="dxa"/>
            <w:gridSpan w:val="9"/>
            <w:vAlign w:val="center"/>
          </w:tcPr>
          <w:p w14:paraId="31C7A002">
            <w:pPr>
              <w:widowControl/>
              <w:adjustRightInd w:val="0"/>
              <w:snapToGrid w:val="0"/>
              <w:rPr>
                <w:rFonts w:hint="eastAsia" w:ascii="方正仿宋_GBK" w:hAnsi="方正仿宋_GBK" w:eastAsia="方正仿宋_GBK" w:cs="方正仿宋_GBK"/>
                <w:b/>
                <w:bCs/>
                <w:color w:val="auto"/>
                <w:kern w:val="0"/>
                <w:sz w:val="18"/>
                <w:szCs w:val="18"/>
              </w:rPr>
            </w:pPr>
          </w:p>
        </w:tc>
      </w:tr>
    </w:tbl>
    <w:p w14:paraId="6C449188">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国标黑体">
    <w:altName w:val="黑体"/>
    <w:panose1 w:val="02000500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KSOF7DF6CDC0">
    <w:panose1 w:val="02010609060101010101"/>
    <w:charset w:val="86"/>
    <w:family w:val="auto"/>
    <w:pitch w:val="default"/>
    <w:sig w:usb0="00000001"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BEF64A"/>
    <w:multiLevelType w:val="singleLevel"/>
    <w:tmpl w:val="ACBEF64A"/>
    <w:lvl w:ilvl="0" w:tentative="0">
      <w:start w:val="1"/>
      <w:numFmt w:val="decimal"/>
      <w:lvlText w:val="(%1)"/>
      <w:lvlJc w:val="left"/>
      <w:pPr>
        <w:tabs>
          <w:tab w:val="left" w:pos="312"/>
        </w:tabs>
      </w:pPr>
    </w:lvl>
  </w:abstractNum>
  <w:abstractNum w:abstractNumId="1">
    <w:nsid w:val="4D463190"/>
    <w:multiLevelType w:val="multilevel"/>
    <w:tmpl w:val="4D46319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BC48C8"/>
    <w:rsid w:val="00A52C09"/>
    <w:rsid w:val="00D82FD6"/>
    <w:rsid w:val="01536DBF"/>
    <w:rsid w:val="022C7B12"/>
    <w:rsid w:val="03BC22B9"/>
    <w:rsid w:val="0C467C6A"/>
    <w:rsid w:val="0CA6496E"/>
    <w:rsid w:val="10921A09"/>
    <w:rsid w:val="121137A1"/>
    <w:rsid w:val="12D022AA"/>
    <w:rsid w:val="136127B7"/>
    <w:rsid w:val="1537759A"/>
    <w:rsid w:val="153C3939"/>
    <w:rsid w:val="17FD1E9F"/>
    <w:rsid w:val="1CC22BF1"/>
    <w:rsid w:val="1F0E1CBE"/>
    <w:rsid w:val="1F58042A"/>
    <w:rsid w:val="213D138A"/>
    <w:rsid w:val="22094286"/>
    <w:rsid w:val="22BB7C8F"/>
    <w:rsid w:val="231B2E11"/>
    <w:rsid w:val="2601208F"/>
    <w:rsid w:val="29577E17"/>
    <w:rsid w:val="2CFA0498"/>
    <w:rsid w:val="349E08A1"/>
    <w:rsid w:val="38432C50"/>
    <w:rsid w:val="39DE65F6"/>
    <w:rsid w:val="3A6601D7"/>
    <w:rsid w:val="3AFC62EC"/>
    <w:rsid w:val="3B4F08B0"/>
    <w:rsid w:val="3D127E6A"/>
    <w:rsid w:val="3F177889"/>
    <w:rsid w:val="3F40706E"/>
    <w:rsid w:val="3F497A86"/>
    <w:rsid w:val="41C76C15"/>
    <w:rsid w:val="4203305D"/>
    <w:rsid w:val="43216D23"/>
    <w:rsid w:val="43D0489B"/>
    <w:rsid w:val="47386EEB"/>
    <w:rsid w:val="4F93087E"/>
    <w:rsid w:val="4FBE45A7"/>
    <w:rsid w:val="50BC48C8"/>
    <w:rsid w:val="5211551B"/>
    <w:rsid w:val="535B0538"/>
    <w:rsid w:val="546C6AFA"/>
    <w:rsid w:val="588160DB"/>
    <w:rsid w:val="58E334A1"/>
    <w:rsid w:val="59A92571"/>
    <w:rsid w:val="5B911EDF"/>
    <w:rsid w:val="5E363C42"/>
    <w:rsid w:val="5FB755C2"/>
    <w:rsid w:val="60463B73"/>
    <w:rsid w:val="60DA0424"/>
    <w:rsid w:val="61A61E78"/>
    <w:rsid w:val="62C4078E"/>
    <w:rsid w:val="62C44114"/>
    <w:rsid w:val="62DB4B3C"/>
    <w:rsid w:val="63953142"/>
    <w:rsid w:val="64D83671"/>
    <w:rsid w:val="68B8200E"/>
    <w:rsid w:val="69D5490E"/>
    <w:rsid w:val="69FD491B"/>
    <w:rsid w:val="6FBC7B07"/>
    <w:rsid w:val="774B7559"/>
    <w:rsid w:val="779265EB"/>
    <w:rsid w:val="79D9203D"/>
    <w:rsid w:val="79F726CE"/>
    <w:rsid w:val="7BF24AAC"/>
    <w:rsid w:val="7E2023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云南省林业厅</Company>
  <Pages>18</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2026-03-13T07:47:00Z</dcterms:created>
  <dc:creator>李品娥</dc:creator>
  <cp:lastModifiedBy>李品娥</cp:lastModifiedBy>
  <dcterms:modified xsi:type="dcterms:W3CDTF">2026-03-13T07:47:50Z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B8C45D775B0B4953884881C4E84534E2_11</vt:lpwstr>
  </property>
  <property fmtid="{D5CDD505-2E9C-101B-9397-08002B2CF9AE}" pid="4" name="KSOTemplateDocerSaveRecord">
    <vt:lpwstr>eyJoZGlkIjoiNTkzMTA5YjQzNDVkN2UwNGZkZWNkMmM4OGNiYmE4NmQiLCJ1c2VySWQiOiI0MzY0MTA3MDIifQ==</vt:lpwstr>
  </property>
</Properties>
</file>