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B2FCA0">
      <w:pPr>
        <w:keepNext w:val="0"/>
        <w:keepLines w:val="0"/>
        <w:pageBreakBefore w:val="0"/>
        <w:widowControl w:val="0"/>
        <w:numPr>
          <w:ilvl w:val="0"/>
          <w:numId w:val="0"/>
        </w:numPr>
        <w:kinsoku/>
        <w:overflowPunct/>
        <w:topLinePunct w:val="0"/>
        <w:autoSpaceDE/>
        <w:autoSpaceDN/>
        <w:bidi w:val="0"/>
        <w:adjustRightInd/>
        <w:snapToGrid/>
        <w:spacing w:line="560" w:lineRule="exact"/>
        <w:textAlignment w:val="auto"/>
        <w:outlineLvl w:val="2"/>
        <w:rPr>
          <w:rFonts w:hint="eastAsia" w:ascii="国标黑体" w:hAnsi="国标黑体" w:eastAsia="国标黑体" w:cs="国标黑体"/>
          <w:kern w:val="2"/>
          <w:sz w:val="32"/>
          <w:szCs w:val="32"/>
          <w:lang w:val="en-US" w:eastAsia="zh-CN" w:bidi="ar-SA"/>
        </w:rPr>
      </w:pPr>
      <w:bookmarkStart w:id="0" w:name="_GoBack"/>
      <w:r>
        <w:rPr>
          <w:rFonts w:hint="eastAsia" w:ascii="国标黑体" w:hAnsi="国标黑体" w:eastAsia="国标黑体" w:cs="国标黑体"/>
          <w:kern w:val="2"/>
          <w:sz w:val="32"/>
          <w:szCs w:val="32"/>
          <w:lang w:val="en-US" w:eastAsia="zh-CN" w:bidi="ar-SA"/>
        </w:rPr>
        <w:t>附件1</w:t>
      </w:r>
    </w:p>
    <w:bookmarkEnd w:id="0"/>
    <w:p w14:paraId="62B19D6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2"/>
        <w:rPr>
          <w:rFonts w:hint="default" w:ascii="Times New Roman" w:hAnsi="Times New Roman" w:eastAsia="方正小标宋_GBK" w:cs="Times New Roman"/>
          <w:b/>
          <w:bCs/>
          <w:spacing w:val="-6"/>
          <w:sz w:val="44"/>
          <w:szCs w:val="44"/>
        </w:rPr>
      </w:pPr>
    </w:p>
    <w:p w14:paraId="103DA22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2"/>
        <w:rPr>
          <w:rFonts w:hint="default" w:ascii="Times New Roman" w:hAnsi="Times New Roman" w:eastAsia="方正小标宋_GBK" w:cs="Times New Roman"/>
          <w:b/>
          <w:bCs/>
          <w:spacing w:val="-6"/>
          <w:sz w:val="44"/>
          <w:szCs w:val="44"/>
        </w:rPr>
      </w:pPr>
      <w:r>
        <w:rPr>
          <w:rFonts w:hint="default" w:ascii="Times New Roman" w:hAnsi="Times New Roman" w:eastAsia="方正小标宋_GBK" w:cs="Times New Roman"/>
          <w:b/>
          <w:bCs/>
          <w:spacing w:val="-6"/>
          <w:sz w:val="44"/>
          <w:szCs w:val="44"/>
        </w:rPr>
        <w:t>用人单位职业病危害综合风险评估方法</w:t>
      </w:r>
    </w:p>
    <w:p w14:paraId="745E618E">
      <w:pPr>
        <w:keepNext w:val="0"/>
        <w:keepLines w:val="0"/>
        <w:pageBreakBefore w:val="0"/>
        <w:widowControl w:val="0"/>
        <w:numPr>
          <w:ilvl w:val="0"/>
          <w:numId w:val="0"/>
        </w:numPr>
        <w:kinsoku/>
        <w:overflowPunct/>
        <w:topLinePunct w:val="0"/>
        <w:autoSpaceDE/>
        <w:autoSpaceDN/>
        <w:bidi w:val="0"/>
        <w:adjustRightInd/>
        <w:snapToGrid/>
        <w:spacing w:line="560" w:lineRule="exact"/>
        <w:ind w:firstLine="856" w:firstLineChars="200"/>
        <w:textAlignment w:val="auto"/>
        <w:outlineLvl w:val="2"/>
        <w:rPr>
          <w:rFonts w:hint="default" w:ascii="Times New Roman" w:hAnsi="Times New Roman" w:eastAsia="方正小标宋_GBK" w:cs="Times New Roman"/>
          <w:b/>
          <w:bCs/>
          <w:spacing w:val="-6"/>
          <w:sz w:val="44"/>
          <w:szCs w:val="44"/>
        </w:rPr>
      </w:pPr>
    </w:p>
    <w:p w14:paraId="607CB0F0">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default" w:ascii="Times New Roman" w:hAnsi="Times New Roman" w:eastAsia="方正仿宋_GBK" w:cs="Times New Roman"/>
          <w:spacing w:val="1"/>
          <w:sz w:val="32"/>
          <w:szCs w:val="32"/>
        </w:rPr>
      </w:pPr>
      <w:r>
        <w:rPr>
          <w:rFonts w:hint="default" w:ascii="Times New Roman" w:hAnsi="Times New Roman" w:eastAsia="方正仿宋_GBK" w:cs="Times New Roman"/>
          <w:spacing w:val="1"/>
          <w:sz w:val="32"/>
          <w:szCs w:val="32"/>
          <w:lang w:eastAsia="zh-CN"/>
        </w:rPr>
        <w:t>为规范用人单位职业病危害综合风险评估工作，推进职业卫生分类监督执法，制定本方法。</w:t>
      </w:r>
    </w:p>
    <w:p w14:paraId="4B2AB82C">
      <w:pPr>
        <w:keepNext w:val="0"/>
        <w:keepLines w:val="0"/>
        <w:pageBreakBefore w:val="0"/>
        <w:widowControl w:val="0"/>
        <w:numPr>
          <w:ilvl w:val="0"/>
          <w:numId w:val="0"/>
        </w:numPr>
        <w:kinsoku/>
        <w:wordWrap/>
        <w:overflowPunct/>
        <w:topLinePunct w:val="0"/>
        <w:autoSpaceDE/>
        <w:autoSpaceDN/>
        <w:bidi w:val="0"/>
        <w:adjustRightInd/>
        <w:snapToGrid/>
        <w:spacing w:before="1" w:line="560" w:lineRule="exact"/>
        <w:ind w:left="630" w:leftChars="0"/>
        <w:textAlignment w:val="auto"/>
        <w:outlineLvl w:val="2"/>
        <w:rPr>
          <w:rFonts w:hint="default" w:ascii="Times New Roman" w:hAnsi="Times New Roman" w:eastAsia="国标黑体" w:cs="Times New Roman"/>
          <w:b w:val="0"/>
          <w:bCs w:val="0"/>
          <w:spacing w:val="6"/>
          <w:sz w:val="32"/>
          <w:szCs w:val="32"/>
        </w:rPr>
      </w:pPr>
      <w:r>
        <w:rPr>
          <w:rFonts w:hint="default" w:ascii="Times New Roman" w:hAnsi="Times New Roman" w:eastAsia="国标黑体" w:cs="Times New Roman"/>
          <w:b w:val="0"/>
          <w:bCs w:val="0"/>
          <w:spacing w:val="6"/>
          <w:sz w:val="32"/>
          <w:szCs w:val="32"/>
          <w:lang w:eastAsia="zh-CN"/>
        </w:rPr>
        <w:t>一、</w:t>
      </w:r>
      <w:r>
        <w:rPr>
          <w:rFonts w:hint="default" w:ascii="Times New Roman" w:hAnsi="Times New Roman" w:eastAsia="国标黑体" w:cs="Times New Roman"/>
          <w:b w:val="0"/>
          <w:bCs w:val="0"/>
          <w:spacing w:val="6"/>
          <w:sz w:val="32"/>
          <w:szCs w:val="32"/>
        </w:rPr>
        <w:t>职业病危害风险分级</w:t>
      </w:r>
    </w:p>
    <w:p w14:paraId="1C4C69CC">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default" w:ascii="Times New Roman" w:hAnsi="Times New Roman" w:eastAsia="方正仿宋_GBK" w:cs="Times New Roman"/>
          <w:spacing w:val="1"/>
          <w:sz w:val="32"/>
          <w:szCs w:val="32"/>
        </w:rPr>
      </w:pPr>
      <w:r>
        <w:rPr>
          <w:rFonts w:hint="default" w:ascii="Times New Roman" w:hAnsi="Times New Roman" w:eastAsia="方正仿宋_GBK" w:cs="Times New Roman"/>
          <w:spacing w:val="1"/>
          <w:sz w:val="32"/>
          <w:szCs w:val="32"/>
          <w:lang w:eastAsia="zh-CN"/>
        </w:rPr>
        <w:t>根据劳动者接触职业病危害因素性质、接触水平、接触人数等指标判定职业</w:t>
      </w:r>
      <w:r>
        <w:rPr>
          <w:rFonts w:hint="eastAsia" w:ascii="方正仿宋_GBK" w:hAnsi="方正仿宋_GBK" w:eastAsia="方正仿宋_GBK" w:cs="方正仿宋_GBK"/>
          <w:spacing w:val="1"/>
          <w:sz w:val="32"/>
          <w:szCs w:val="32"/>
          <w:lang w:eastAsia="zh-CN"/>
        </w:rPr>
        <w:t>病危害风险等级，分为I级、Ⅱ级、Ⅲ级3个等级（I级风险最低，Ⅲ级风险最高）。</w:t>
      </w:r>
    </w:p>
    <w:p w14:paraId="7BCE103A">
      <w:pPr>
        <w:keepNext w:val="0"/>
        <w:keepLines w:val="0"/>
        <w:pageBreakBefore w:val="0"/>
        <w:widowControl w:val="0"/>
        <w:numPr>
          <w:ilvl w:val="0"/>
          <w:numId w:val="0"/>
        </w:numPr>
        <w:kinsoku/>
        <w:wordWrap/>
        <w:overflowPunct/>
        <w:topLinePunct w:val="0"/>
        <w:autoSpaceDE/>
        <w:autoSpaceDN/>
        <w:bidi w:val="0"/>
        <w:adjustRightInd/>
        <w:snapToGrid/>
        <w:spacing w:before="1" w:line="560" w:lineRule="exact"/>
        <w:ind w:firstLine="640" w:firstLineChars="200"/>
        <w:textAlignment w:val="auto"/>
        <w:outlineLvl w:val="2"/>
        <w:rPr>
          <w:rFonts w:hint="default" w:ascii="Times New Roman" w:hAnsi="Times New Roman" w:eastAsia="华文楷体" w:cs="Times New Roman"/>
          <w:color w:val="auto"/>
          <w:spacing w:val="20"/>
          <w:sz w:val="32"/>
          <w:szCs w:val="32"/>
        </w:rPr>
      </w:pPr>
      <w:r>
        <w:rPr>
          <w:rFonts w:hint="default" w:ascii="Times New Roman" w:hAnsi="Times New Roman" w:eastAsia="华文楷体" w:cs="Times New Roman"/>
          <w:color w:val="auto"/>
          <w:spacing w:val="0"/>
          <w:sz w:val="32"/>
          <w:szCs w:val="32"/>
          <w:lang w:eastAsia="zh-CN"/>
        </w:rPr>
        <w:t>（一）</w:t>
      </w:r>
      <w:r>
        <w:rPr>
          <w:rFonts w:hint="default" w:ascii="Times New Roman" w:hAnsi="Times New Roman" w:eastAsia="华文楷体" w:cs="Times New Roman"/>
          <w:color w:val="auto"/>
          <w:spacing w:val="0"/>
          <w:sz w:val="32"/>
          <w:szCs w:val="32"/>
        </w:rPr>
        <w:t>指标界定。</w:t>
      </w:r>
    </w:p>
    <w:p w14:paraId="0C94F43A">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default" w:ascii="方正仿宋_GBK" w:hAnsi="方正仿宋_GBK" w:eastAsia="方正仿宋_GBK" w:cs="方正仿宋_GBK"/>
          <w:spacing w:val="1"/>
          <w:sz w:val="32"/>
          <w:szCs w:val="32"/>
          <w:lang w:eastAsia="zh-CN"/>
        </w:rPr>
      </w:pPr>
      <w:r>
        <w:rPr>
          <w:rFonts w:hint="default" w:ascii="方正仿宋_GBK" w:hAnsi="方正仿宋_GBK" w:eastAsia="方正仿宋_GBK" w:cs="方正仿宋_GBK"/>
          <w:spacing w:val="1"/>
          <w:sz w:val="32"/>
          <w:szCs w:val="32"/>
          <w:lang w:eastAsia="zh-CN"/>
        </w:rPr>
        <w:t>1.职业病危害因素性质：分为严重和一般职业病危害因素两类。符合下列情形之一者，属于严重职业病危害因素，其他职业病危害因素为一般职业病危害因素。</w:t>
      </w:r>
    </w:p>
    <w:p w14:paraId="1AAE5831">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default" w:ascii="方正仿宋_GBK" w:hAnsi="方正仿宋_GBK" w:eastAsia="方正仿宋_GBK" w:cs="方正仿宋_GBK"/>
          <w:spacing w:val="1"/>
          <w:sz w:val="32"/>
          <w:szCs w:val="32"/>
          <w:lang w:eastAsia="zh-CN"/>
        </w:rPr>
      </w:pPr>
      <w:r>
        <w:rPr>
          <w:rFonts w:hint="default" w:ascii="方正仿宋_GBK" w:hAnsi="方正仿宋_GBK" w:eastAsia="方正仿宋_GBK" w:cs="方正仿宋_GBK"/>
          <w:spacing w:val="1"/>
          <w:sz w:val="32"/>
          <w:szCs w:val="32"/>
          <w:lang w:eastAsia="zh-CN"/>
        </w:rPr>
        <w:t>（</w:t>
      </w:r>
      <w:r>
        <w:rPr>
          <w:rFonts w:hint="default" w:ascii="方正仿宋_GBK" w:hAnsi="方正仿宋_GBK" w:eastAsia="方正仿宋_GBK" w:cs="方正仿宋_GBK"/>
          <w:spacing w:val="1"/>
          <w:sz w:val="32"/>
          <w:szCs w:val="32"/>
          <w:lang w:val="en-US" w:eastAsia="zh-CN"/>
        </w:rPr>
        <w:t>1</w:t>
      </w:r>
      <w:r>
        <w:rPr>
          <w:rFonts w:hint="default" w:ascii="方正仿宋_GBK" w:hAnsi="方正仿宋_GBK" w:eastAsia="方正仿宋_GBK" w:cs="方正仿宋_GBK"/>
          <w:spacing w:val="1"/>
          <w:sz w:val="32"/>
          <w:szCs w:val="32"/>
          <w:lang w:eastAsia="zh-CN"/>
        </w:rPr>
        <w:t>）《高毒物品目录》所列职业病危害因素；</w:t>
      </w:r>
    </w:p>
    <w:p w14:paraId="68F9A533">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default" w:ascii="方正仿宋_GBK" w:hAnsi="方正仿宋_GBK" w:eastAsia="方正仿宋_GBK" w:cs="方正仿宋_GBK"/>
          <w:spacing w:val="1"/>
          <w:sz w:val="32"/>
          <w:szCs w:val="32"/>
          <w:lang w:eastAsia="zh-CN"/>
        </w:rPr>
      </w:pPr>
      <w:r>
        <w:rPr>
          <w:rFonts w:hint="default" w:ascii="方正仿宋_GBK" w:hAnsi="方正仿宋_GBK" w:eastAsia="方正仿宋_GBK" w:cs="方正仿宋_GBK"/>
          <w:spacing w:val="1"/>
          <w:sz w:val="32"/>
          <w:szCs w:val="32"/>
          <w:lang w:val="en-US" w:eastAsia="zh-CN"/>
        </w:rPr>
        <w:t>（2</w:t>
      </w:r>
      <w:r>
        <w:rPr>
          <w:rFonts w:hint="default" w:ascii="方正仿宋_GBK" w:hAnsi="方正仿宋_GBK" w:eastAsia="方正仿宋_GBK" w:cs="方正仿宋_GBK"/>
          <w:spacing w:val="1"/>
          <w:sz w:val="32"/>
          <w:szCs w:val="32"/>
          <w:lang w:eastAsia="zh-CN"/>
        </w:rPr>
        <w:t>）已确认对人致癌的化学有害因素（GBZ2.1中标注“G1”的物质）；</w:t>
      </w:r>
    </w:p>
    <w:p w14:paraId="0AFF4001">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default" w:ascii="方正仿宋_GBK" w:hAnsi="方正仿宋_GBK" w:eastAsia="方正仿宋_GBK" w:cs="方正仿宋_GBK"/>
          <w:spacing w:val="1"/>
          <w:sz w:val="32"/>
          <w:szCs w:val="32"/>
          <w:lang w:eastAsia="zh-CN"/>
        </w:rPr>
      </w:pPr>
      <w:r>
        <w:rPr>
          <w:rFonts w:hint="default" w:ascii="方正仿宋_GBK" w:hAnsi="方正仿宋_GBK" w:eastAsia="方正仿宋_GBK" w:cs="方正仿宋_GBK"/>
          <w:spacing w:val="1"/>
          <w:sz w:val="32"/>
          <w:szCs w:val="32"/>
          <w:lang w:eastAsia="zh-CN"/>
        </w:rPr>
        <w:t>（</w:t>
      </w:r>
      <w:r>
        <w:rPr>
          <w:rFonts w:hint="default" w:ascii="方正仿宋_GBK" w:hAnsi="方正仿宋_GBK" w:eastAsia="方正仿宋_GBK" w:cs="方正仿宋_GBK"/>
          <w:spacing w:val="1"/>
          <w:sz w:val="32"/>
          <w:szCs w:val="32"/>
          <w:lang w:val="en-US" w:eastAsia="zh-CN"/>
        </w:rPr>
        <w:t>3</w:t>
      </w:r>
      <w:r>
        <w:rPr>
          <w:rFonts w:hint="default" w:ascii="方正仿宋_GBK" w:hAnsi="方正仿宋_GBK" w:eastAsia="方正仿宋_GBK" w:cs="方正仿宋_GBK"/>
          <w:spacing w:val="1"/>
          <w:sz w:val="32"/>
          <w:szCs w:val="32"/>
          <w:lang w:eastAsia="zh-CN"/>
        </w:rPr>
        <w:t>）电离辐射（Ⅲ类射线装置、IV类和V类密封源、丙级非密封放射性物质工作场所及予以豁免的实践或源除外）；</w:t>
      </w:r>
    </w:p>
    <w:p w14:paraId="560FAE97">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eastAsia" w:ascii="方正仿宋_GBK" w:hAnsi="方正仿宋_GBK" w:eastAsia="方正仿宋_GBK" w:cs="方正仿宋_GBK"/>
          <w:spacing w:val="1"/>
          <w:sz w:val="32"/>
          <w:szCs w:val="32"/>
          <w:lang w:eastAsia="zh-CN"/>
        </w:rPr>
      </w:pPr>
      <w:r>
        <w:rPr>
          <w:rFonts w:hint="default" w:ascii="方正仿宋_GBK" w:hAnsi="方正仿宋_GBK" w:eastAsia="方正仿宋_GBK" w:cs="方正仿宋_GBK"/>
          <w:spacing w:val="1"/>
          <w:sz w:val="32"/>
          <w:szCs w:val="32"/>
          <w:lang w:eastAsia="zh-CN"/>
        </w:rPr>
        <w:t>（</w:t>
      </w:r>
      <w:r>
        <w:rPr>
          <w:rFonts w:hint="default" w:ascii="方正仿宋_GBK" w:hAnsi="方正仿宋_GBK" w:eastAsia="方正仿宋_GBK" w:cs="方正仿宋_GBK"/>
          <w:spacing w:val="1"/>
          <w:sz w:val="32"/>
          <w:szCs w:val="32"/>
          <w:lang w:val="en-US" w:eastAsia="zh-CN"/>
        </w:rPr>
        <w:t>4</w:t>
      </w:r>
      <w:r>
        <w:rPr>
          <w:rFonts w:hint="default" w:ascii="方正仿宋_GBK" w:hAnsi="方正仿宋_GBK" w:eastAsia="方正仿宋_GBK" w:cs="方正仿宋_GBK"/>
          <w:spacing w:val="1"/>
          <w:sz w:val="32"/>
          <w:szCs w:val="32"/>
          <w:lang w:eastAsia="zh-CN"/>
        </w:rPr>
        <w:t>）省卫生健康、疾病预防控制部门规定的其他严重</w:t>
      </w:r>
      <w:r>
        <w:rPr>
          <w:rFonts w:hint="eastAsia" w:ascii="方正仿宋_GBK" w:hAnsi="方正仿宋_GBK" w:eastAsia="方正仿宋_GBK" w:cs="方正仿宋_GBK"/>
          <w:spacing w:val="1"/>
          <w:sz w:val="32"/>
          <w:szCs w:val="32"/>
          <w:lang w:eastAsia="zh-CN"/>
        </w:rPr>
        <w:t>职业病危害因素。</w:t>
      </w:r>
    </w:p>
    <w:p w14:paraId="28C5B943">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eastAsia" w:ascii="方正仿宋_GBK" w:hAnsi="方正仿宋_GBK" w:eastAsia="方正仿宋_GBK" w:cs="方正仿宋_GBK"/>
          <w:spacing w:val="1"/>
          <w:sz w:val="32"/>
          <w:szCs w:val="32"/>
          <w:lang w:eastAsia="zh-CN"/>
        </w:rPr>
      </w:pPr>
      <w:r>
        <w:rPr>
          <w:rFonts w:hint="eastAsia" w:ascii="方正仿宋_GBK" w:hAnsi="方正仿宋_GBK" w:eastAsia="方正仿宋_GBK" w:cs="方正仿宋_GBK"/>
          <w:spacing w:val="1"/>
          <w:sz w:val="32"/>
          <w:szCs w:val="32"/>
          <w:lang w:eastAsia="zh-CN"/>
        </w:rPr>
        <w:t>2.职业病危害因素接触水平：依据《工作场所有害因素职业接触限值》等标准，将职业病危害因素接触水平划分为符合与不符合两类。职业病危害因素接触水平指劳动者在职业活动的特定时间段内实际接触工作场所职业病危害因素的浓度或强度。符合为工作场所内职业病危害因素在限值内，不符合为超过限值。</w:t>
      </w:r>
    </w:p>
    <w:p w14:paraId="325E3A15">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eastAsia" w:ascii="方正仿宋_GBK" w:hAnsi="方正仿宋_GBK" w:eastAsia="方正仿宋_GBK" w:cs="方正仿宋_GBK"/>
          <w:spacing w:val="1"/>
          <w:sz w:val="32"/>
          <w:szCs w:val="32"/>
          <w:lang w:eastAsia="zh-CN"/>
        </w:rPr>
      </w:pPr>
      <w:r>
        <w:rPr>
          <w:rFonts w:hint="eastAsia" w:ascii="方正仿宋_GBK" w:hAnsi="方正仿宋_GBK" w:eastAsia="方正仿宋_GBK" w:cs="方正仿宋_GBK"/>
          <w:spacing w:val="1"/>
          <w:sz w:val="32"/>
          <w:szCs w:val="32"/>
          <w:lang w:eastAsia="zh-CN"/>
        </w:rPr>
        <w:t>3.职业病危害接触人数：分为接触人数50人以下和50人及以上两类。接触人数包括本单位、劳务派遣接触职业病危害的劳动者。</w:t>
      </w:r>
    </w:p>
    <w:p w14:paraId="0A0CAD08">
      <w:pPr>
        <w:keepNext w:val="0"/>
        <w:keepLines w:val="0"/>
        <w:pageBreakBefore w:val="0"/>
        <w:widowControl w:val="0"/>
        <w:numPr>
          <w:ilvl w:val="0"/>
          <w:numId w:val="0"/>
        </w:numPr>
        <w:kinsoku/>
        <w:wordWrap/>
        <w:overflowPunct/>
        <w:topLinePunct w:val="0"/>
        <w:autoSpaceDE/>
        <w:autoSpaceDN/>
        <w:bidi w:val="0"/>
        <w:adjustRightInd/>
        <w:snapToGrid/>
        <w:spacing w:before="1" w:line="560" w:lineRule="exact"/>
        <w:ind w:firstLine="640" w:firstLineChars="200"/>
        <w:textAlignment w:val="auto"/>
        <w:outlineLvl w:val="2"/>
        <w:rPr>
          <w:rFonts w:hint="default" w:ascii="Times New Roman" w:hAnsi="Times New Roman" w:eastAsia="方正仿宋_GBK" w:cs="Times New Roman"/>
          <w:spacing w:val="1"/>
          <w:sz w:val="32"/>
          <w:szCs w:val="32"/>
        </w:rPr>
      </w:pPr>
      <w:r>
        <w:rPr>
          <w:rFonts w:hint="default" w:ascii="Times New Roman" w:hAnsi="Times New Roman" w:eastAsia="华文楷体" w:cs="Times New Roman"/>
          <w:b w:val="0"/>
          <w:bCs w:val="0"/>
          <w:color w:val="auto"/>
          <w:spacing w:val="0"/>
          <w:sz w:val="32"/>
          <w:szCs w:val="32"/>
          <w:lang w:eastAsia="zh-CN"/>
        </w:rPr>
        <w:t>（</w:t>
      </w:r>
      <w:r>
        <w:rPr>
          <w:rFonts w:hint="default" w:ascii="Times New Roman" w:hAnsi="Times New Roman" w:eastAsia="华文楷体" w:cs="Times New Roman"/>
          <w:b w:val="0"/>
          <w:bCs w:val="0"/>
          <w:color w:val="auto"/>
          <w:spacing w:val="0"/>
          <w:sz w:val="32"/>
          <w:szCs w:val="32"/>
        </w:rPr>
        <w:t>二</w:t>
      </w:r>
      <w:r>
        <w:rPr>
          <w:rFonts w:hint="default" w:ascii="Times New Roman" w:hAnsi="Times New Roman" w:eastAsia="华文楷体" w:cs="Times New Roman"/>
          <w:b w:val="0"/>
          <w:bCs w:val="0"/>
          <w:color w:val="auto"/>
          <w:spacing w:val="0"/>
          <w:sz w:val="32"/>
          <w:szCs w:val="32"/>
          <w:lang w:eastAsia="zh-CN"/>
        </w:rPr>
        <w:t>）</w:t>
      </w:r>
      <w:r>
        <w:rPr>
          <w:rFonts w:hint="default" w:ascii="Times New Roman" w:hAnsi="Times New Roman" w:eastAsia="华文楷体" w:cs="Times New Roman"/>
          <w:b w:val="0"/>
          <w:bCs w:val="0"/>
          <w:color w:val="auto"/>
          <w:spacing w:val="0"/>
          <w:sz w:val="32"/>
          <w:szCs w:val="32"/>
        </w:rPr>
        <w:t>风险分级方法。</w:t>
      </w:r>
      <w:r>
        <w:rPr>
          <w:rFonts w:hint="default" w:ascii="Times New Roman" w:hAnsi="Times New Roman" w:eastAsia="方正仿宋_GBK" w:cs="Times New Roman"/>
          <w:spacing w:val="1"/>
          <w:sz w:val="32"/>
          <w:szCs w:val="32"/>
          <w:lang w:eastAsia="zh-CN"/>
        </w:rPr>
        <w:t>根据职业病危害控制效果评价报告、现状评价报告或工作场所职业病危害因素定期检测报告，开展职业病危害因素接触情况分析，按下表分级。</w:t>
      </w:r>
    </w:p>
    <w:p w14:paraId="5506F198">
      <w:pPr>
        <w:keepNext w:val="0"/>
        <w:keepLines w:val="0"/>
        <w:pageBreakBefore w:val="0"/>
        <w:widowControl w:val="0"/>
        <w:kinsoku/>
        <w:wordWrap/>
        <w:overflowPunct/>
        <w:topLinePunct w:val="0"/>
        <w:autoSpaceDE/>
        <w:autoSpaceDN/>
        <w:bidi w:val="0"/>
        <w:adjustRightInd/>
        <w:snapToGrid/>
        <w:spacing w:before="20" w:line="560" w:lineRule="exact"/>
        <w:jc w:val="center"/>
        <w:textAlignment w:val="auto"/>
        <w:rPr>
          <w:rFonts w:hint="default" w:ascii="Times New Roman" w:hAnsi="Times New Roman" w:eastAsia="方正仿宋_GBK" w:cs="Times New Roman"/>
          <w:color w:val="auto"/>
          <w:sz w:val="2"/>
        </w:rPr>
      </w:pPr>
      <w:r>
        <w:rPr>
          <w:rFonts w:hint="default" w:ascii="Times New Roman" w:hAnsi="Times New Roman" w:eastAsia="方正仿宋_GBK" w:cs="Times New Roman"/>
          <w:b/>
          <w:bCs/>
          <w:color w:val="auto"/>
          <w:spacing w:val="-4"/>
          <w:sz w:val="32"/>
          <w:szCs w:val="32"/>
        </w:rPr>
        <w:t>用人单位职业病危害风险分级方法</w:t>
      </w:r>
    </w:p>
    <w:tbl>
      <w:tblPr>
        <w:tblStyle w:val="5"/>
        <w:tblW w:w="84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12"/>
        <w:gridCol w:w="2028"/>
        <w:gridCol w:w="2177"/>
        <w:gridCol w:w="2242"/>
      </w:tblGrid>
      <w:tr w14:paraId="771449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jc w:val="center"/>
        </w:trPr>
        <w:tc>
          <w:tcPr>
            <w:tcW w:w="2012" w:type="dxa"/>
            <w:vMerge w:val="restart"/>
            <w:tcBorders>
              <w:bottom w:val="nil"/>
            </w:tcBorders>
            <w:vAlign w:val="center"/>
          </w:tcPr>
          <w:p w14:paraId="5552FC50">
            <w:pPr>
              <w:pStyle w:val="4"/>
              <w:keepNext w:val="0"/>
              <w:keepLines w:val="0"/>
              <w:pageBreakBefore w:val="0"/>
              <w:widowControl w:val="0"/>
              <w:kinsoku/>
              <w:wordWrap/>
              <w:overflowPunct/>
              <w:topLinePunct w:val="0"/>
              <w:autoSpaceDE/>
              <w:autoSpaceDN/>
              <w:bidi w:val="0"/>
              <w:adjustRightInd/>
              <w:snapToGrid/>
              <w:spacing w:line="560" w:lineRule="exact"/>
              <w:ind w:left="0" w:right="0" w:firstLine="0"/>
              <w:jc w:val="center"/>
              <w:textAlignment w:val="auto"/>
              <w:rPr>
                <w:rFonts w:hint="eastAsia" w:ascii="方正仿宋_GBK" w:hAnsi="方正仿宋_GBK" w:eastAsia="方正仿宋_GBK" w:cs="方正仿宋_GBK"/>
                <w:b/>
                <w:bCs/>
                <w:color w:val="auto"/>
                <w:spacing w:val="-1"/>
              </w:rPr>
            </w:pPr>
            <w:r>
              <w:rPr>
                <w:rFonts w:hint="eastAsia" w:ascii="方正仿宋_GBK" w:hAnsi="方正仿宋_GBK" w:eastAsia="方正仿宋_GBK" w:cs="方正仿宋_GBK"/>
                <w:b/>
                <w:bCs/>
                <w:color w:val="auto"/>
                <w:spacing w:val="-1"/>
              </w:rPr>
              <w:t>职业病危害</w:t>
            </w:r>
          </w:p>
          <w:p w14:paraId="538F18D6">
            <w:pPr>
              <w:pStyle w:val="4"/>
              <w:keepNext w:val="0"/>
              <w:keepLines w:val="0"/>
              <w:pageBreakBefore w:val="0"/>
              <w:widowControl w:val="0"/>
              <w:kinsoku/>
              <w:wordWrap/>
              <w:overflowPunct/>
              <w:topLinePunct w:val="0"/>
              <w:autoSpaceDE/>
              <w:autoSpaceDN/>
              <w:bidi w:val="0"/>
              <w:adjustRightInd/>
              <w:snapToGrid/>
              <w:spacing w:line="560" w:lineRule="exact"/>
              <w:ind w:left="0" w:right="0" w:firstLine="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b/>
                <w:bCs/>
                <w:color w:val="auto"/>
                <w:spacing w:val="2"/>
              </w:rPr>
              <w:t>因素性质</w:t>
            </w:r>
          </w:p>
        </w:tc>
        <w:tc>
          <w:tcPr>
            <w:tcW w:w="2028" w:type="dxa"/>
            <w:vMerge w:val="restart"/>
            <w:tcBorders>
              <w:bottom w:val="nil"/>
            </w:tcBorders>
            <w:vAlign w:val="center"/>
          </w:tcPr>
          <w:p w14:paraId="455986CE">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b/>
                <w:bCs/>
                <w:color w:val="auto"/>
                <w:spacing w:val="3"/>
              </w:rPr>
              <w:t>接触水平</w:t>
            </w:r>
          </w:p>
        </w:tc>
        <w:tc>
          <w:tcPr>
            <w:tcW w:w="4419" w:type="dxa"/>
            <w:gridSpan w:val="2"/>
            <w:vAlign w:val="center"/>
          </w:tcPr>
          <w:p w14:paraId="0467DEC5">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b/>
                <w:bCs/>
                <w:color w:val="auto"/>
                <w:spacing w:val="-18"/>
              </w:rPr>
              <w:t>接触人数</w:t>
            </w:r>
            <w:r>
              <w:rPr>
                <w:rFonts w:hint="eastAsia" w:ascii="方正仿宋_GBK" w:hAnsi="方正仿宋_GBK" w:eastAsia="方正仿宋_GBK" w:cs="方正仿宋_GBK"/>
                <w:b/>
                <w:bCs/>
                <w:color w:val="auto"/>
                <w:spacing w:val="-18"/>
                <w:lang w:eastAsia="zh-CN"/>
              </w:rPr>
              <w:t>（</w:t>
            </w:r>
            <w:r>
              <w:rPr>
                <w:rFonts w:hint="eastAsia" w:ascii="方正仿宋_GBK" w:hAnsi="方正仿宋_GBK" w:eastAsia="方正仿宋_GBK" w:cs="方正仿宋_GBK"/>
                <w:b/>
                <w:bCs/>
                <w:color w:val="auto"/>
                <w:spacing w:val="-18"/>
              </w:rPr>
              <w:t>人</w:t>
            </w:r>
            <w:r>
              <w:rPr>
                <w:rFonts w:hint="eastAsia" w:ascii="方正仿宋_GBK" w:hAnsi="方正仿宋_GBK" w:eastAsia="方正仿宋_GBK" w:cs="方正仿宋_GBK"/>
                <w:b/>
                <w:bCs/>
                <w:color w:val="auto"/>
                <w:spacing w:val="-18"/>
                <w:lang w:eastAsia="zh-CN"/>
              </w:rPr>
              <w:t>）</w:t>
            </w:r>
          </w:p>
        </w:tc>
      </w:tr>
      <w:tr w14:paraId="4076B9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2012" w:type="dxa"/>
            <w:vMerge w:val="continue"/>
            <w:tcBorders>
              <w:top w:val="nil"/>
            </w:tcBorders>
            <w:vAlign w:val="top"/>
          </w:tcPr>
          <w:p w14:paraId="3B22ABA0">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方正仿宋_GBK" w:hAnsi="方正仿宋_GBK" w:eastAsia="方正仿宋_GBK" w:cs="方正仿宋_GBK"/>
                <w:color w:val="auto"/>
                <w:sz w:val="21"/>
              </w:rPr>
            </w:pPr>
          </w:p>
        </w:tc>
        <w:tc>
          <w:tcPr>
            <w:tcW w:w="2028" w:type="dxa"/>
            <w:vMerge w:val="continue"/>
            <w:tcBorders>
              <w:top w:val="nil"/>
            </w:tcBorders>
            <w:vAlign w:val="top"/>
          </w:tcPr>
          <w:p w14:paraId="003DD955">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方正仿宋_GBK" w:hAnsi="方正仿宋_GBK" w:eastAsia="方正仿宋_GBK" w:cs="方正仿宋_GBK"/>
                <w:color w:val="auto"/>
                <w:sz w:val="21"/>
              </w:rPr>
            </w:pPr>
          </w:p>
        </w:tc>
        <w:tc>
          <w:tcPr>
            <w:tcW w:w="2177" w:type="dxa"/>
            <w:vAlign w:val="center"/>
          </w:tcPr>
          <w:p w14:paraId="5E3FD66D">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b/>
                <w:bCs/>
                <w:color w:val="auto"/>
                <w:spacing w:val="-7"/>
              </w:rPr>
              <w:t>&lt;50</w:t>
            </w:r>
          </w:p>
        </w:tc>
        <w:tc>
          <w:tcPr>
            <w:tcW w:w="2242" w:type="dxa"/>
            <w:vAlign w:val="center"/>
          </w:tcPr>
          <w:p w14:paraId="4495041B">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b/>
                <w:bCs/>
                <w:color w:val="auto"/>
                <w:spacing w:val="-12"/>
              </w:rPr>
              <w:t>≥50</w:t>
            </w:r>
          </w:p>
        </w:tc>
      </w:tr>
      <w:tr w14:paraId="6ECD63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2012" w:type="dxa"/>
            <w:vMerge w:val="restart"/>
            <w:tcBorders>
              <w:bottom w:val="nil"/>
            </w:tcBorders>
            <w:vAlign w:val="center"/>
          </w:tcPr>
          <w:p w14:paraId="50A52F88">
            <w:pPr>
              <w:pStyle w:val="4"/>
              <w:keepNext w:val="0"/>
              <w:keepLines w:val="0"/>
              <w:pageBreakBefore w:val="0"/>
              <w:widowControl w:val="0"/>
              <w:kinsoku/>
              <w:wordWrap/>
              <w:overflowPunct/>
              <w:topLinePunct w:val="0"/>
              <w:autoSpaceDE/>
              <w:autoSpaceDN/>
              <w:bidi w:val="0"/>
              <w:adjustRightInd/>
              <w:snapToGrid/>
              <w:spacing w:line="560" w:lineRule="exact"/>
              <w:ind w:left="0" w:leftChars="0" w:right="102" w:rightChars="0" w:firstLine="0" w:firstLineChars="0"/>
              <w:jc w:val="center"/>
              <w:textAlignment w:val="auto"/>
              <w:rPr>
                <w:rFonts w:hint="eastAsia" w:ascii="方正仿宋_GBK" w:hAnsi="方正仿宋_GBK" w:eastAsia="方正仿宋_GBK" w:cs="方正仿宋_GBK"/>
                <w:color w:val="auto"/>
                <w:spacing w:val="3"/>
              </w:rPr>
            </w:pPr>
            <w:r>
              <w:rPr>
                <w:rFonts w:hint="eastAsia" w:ascii="方正仿宋_GBK" w:hAnsi="方正仿宋_GBK" w:eastAsia="方正仿宋_GBK" w:cs="方正仿宋_GBK"/>
                <w:color w:val="auto"/>
                <w:spacing w:val="3"/>
              </w:rPr>
              <w:t>一般职业病</w:t>
            </w:r>
          </w:p>
          <w:p w14:paraId="626C29AA">
            <w:pPr>
              <w:pStyle w:val="4"/>
              <w:keepNext w:val="0"/>
              <w:keepLines w:val="0"/>
              <w:pageBreakBefore w:val="0"/>
              <w:widowControl w:val="0"/>
              <w:kinsoku/>
              <w:wordWrap/>
              <w:overflowPunct/>
              <w:topLinePunct w:val="0"/>
              <w:autoSpaceDE/>
              <w:autoSpaceDN/>
              <w:bidi w:val="0"/>
              <w:adjustRightInd/>
              <w:snapToGrid/>
              <w:spacing w:line="560" w:lineRule="exact"/>
              <w:ind w:left="0" w:leftChars="0" w:right="102" w:rightChars="0" w:firstLine="0" w:firstLineChars="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3"/>
              </w:rPr>
              <w:t>危害因素</w:t>
            </w:r>
          </w:p>
        </w:tc>
        <w:tc>
          <w:tcPr>
            <w:tcW w:w="2028" w:type="dxa"/>
            <w:vAlign w:val="center"/>
          </w:tcPr>
          <w:p w14:paraId="6C98AEDB">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5"/>
              </w:rPr>
              <w:t>符合</w:t>
            </w:r>
          </w:p>
        </w:tc>
        <w:tc>
          <w:tcPr>
            <w:tcW w:w="2177" w:type="dxa"/>
            <w:vAlign w:val="center"/>
          </w:tcPr>
          <w:p w14:paraId="2CE398BD">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8"/>
              </w:rPr>
              <w:t>I级</w:t>
            </w:r>
          </w:p>
        </w:tc>
        <w:tc>
          <w:tcPr>
            <w:tcW w:w="2242" w:type="dxa"/>
            <w:vAlign w:val="center"/>
          </w:tcPr>
          <w:p w14:paraId="0D2A19D5">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8"/>
              </w:rPr>
              <w:t>I级</w:t>
            </w:r>
          </w:p>
        </w:tc>
      </w:tr>
      <w:tr w14:paraId="153467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2012" w:type="dxa"/>
            <w:vMerge w:val="continue"/>
            <w:tcBorders>
              <w:top w:val="nil"/>
            </w:tcBorders>
            <w:vAlign w:val="center"/>
          </w:tcPr>
          <w:p w14:paraId="52763714">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color w:val="auto"/>
                <w:sz w:val="21"/>
              </w:rPr>
            </w:pPr>
          </w:p>
        </w:tc>
        <w:tc>
          <w:tcPr>
            <w:tcW w:w="2028" w:type="dxa"/>
            <w:vAlign w:val="center"/>
          </w:tcPr>
          <w:p w14:paraId="41C8A151">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3"/>
              </w:rPr>
              <w:t>不符合</w:t>
            </w:r>
          </w:p>
        </w:tc>
        <w:tc>
          <w:tcPr>
            <w:tcW w:w="2177" w:type="dxa"/>
            <w:vAlign w:val="center"/>
          </w:tcPr>
          <w:p w14:paraId="1E4213CB">
            <w:pPr>
              <w:pStyle w:val="4"/>
              <w:keepNext w:val="0"/>
              <w:keepLines w:val="0"/>
              <w:pageBreakBefore w:val="0"/>
              <w:widowControl w:val="0"/>
              <w:kinsoku/>
              <w:wordWrap/>
              <w:overflowPunct/>
              <w:topLinePunct w:val="0"/>
              <w:autoSpaceDE/>
              <w:autoSpaceDN/>
              <w:bidi w:val="0"/>
              <w:adjustRightInd/>
              <w:snapToGrid/>
              <w:spacing w:line="560" w:lineRule="exact"/>
              <w:ind w:left="0" w:firstLine="816" w:firstLineChars="400"/>
              <w:jc w:val="both"/>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28"/>
              </w:rPr>
              <w:t>Ⅱ级</w:t>
            </w:r>
          </w:p>
        </w:tc>
        <w:tc>
          <w:tcPr>
            <w:tcW w:w="2242" w:type="dxa"/>
            <w:vAlign w:val="center"/>
          </w:tcPr>
          <w:p w14:paraId="3DD95653">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8"/>
              </w:rPr>
              <w:t>Ⅲ级</w:t>
            </w:r>
          </w:p>
        </w:tc>
      </w:tr>
      <w:tr w14:paraId="721433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2012" w:type="dxa"/>
            <w:vMerge w:val="restart"/>
            <w:tcBorders>
              <w:bottom w:val="nil"/>
            </w:tcBorders>
            <w:vAlign w:val="center"/>
          </w:tcPr>
          <w:p w14:paraId="6EF56387">
            <w:pPr>
              <w:pStyle w:val="4"/>
              <w:keepNext w:val="0"/>
              <w:keepLines w:val="0"/>
              <w:pageBreakBefore w:val="0"/>
              <w:widowControl w:val="0"/>
              <w:kinsoku/>
              <w:wordWrap/>
              <w:overflowPunct/>
              <w:topLinePunct w:val="0"/>
              <w:autoSpaceDE/>
              <w:autoSpaceDN/>
              <w:bidi w:val="0"/>
              <w:adjustRightInd/>
              <w:snapToGrid/>
              <w:spacing w:line="560" w:lineRule="exact"/>
              <w:ind w:left="11" w:leftChars="0" w:right="102" w:rightChars="0" w:hanging="11" w:firstLineChars="0"/>
              <w:jc w:val="center"/>
              <w:textAlignment w:val="auto"/>
              <w:rPr>
                <w:rFonts w:hint="eastAsia" w:ascii="方正仿宋_GBK" w:hAnsi="方正仿宋_GBK" w:eastAsia="方正仿宋_GBK" w:cs="方正仿宋_GBK"/>
                <w:color w:val="auto"/>
                <w:spacing w:val="3"/>
              </w:rPr>
            </w:pPr>
            <w:r>
              <w:rPr>
                <w:rFonts w:hint="eastAsia" w:ascii="方正仿宋_GBK" w:hAnsi="方正仿宋_GBK" w:eastAsia="方正仿宋_GBK" w:cs="方正仿宋_GBK"/>
                <w:color w:val="auto"/>
                <w:spacing w:val="3"/>
              </w:rPr>
              <w:t>严重职业病</w:t>
            </w:r>
          </w:p>
          <w:p w14:paraId="3C9E92E5">
            <w:pPr>
              <w:pStyle w:val="4"/>
              <w:keepNext w:val="0"/>
              <w:keepLines w:val="0"/>
              <w:pageBreakBefore w:val="0"/>
              <w:widowControl w:val="0"/>
              <w:kinsoku/>
              <w:wordWrap/>
              <w:overflowPunct/>
              <w:topLinePunct w:val="0"/>
              <w:autoSpaceDE/>
              <w:autoSpaceDN/>
              <w:bidi w:val="0"/>
              <w:adjustRightInd/>
              <w:snapToGrid/>
              <w:spacing w:line="560" w:lineRule="exact"/>
              <w:ind w:left="11" w:leftChars="0" w:right="102" w:rightChars="0" w:hanging="11" w:firstLineChars="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3"/>
              </w:rPr>
              <w:t>危害因素</w:t>
            </w:r>
          </w:p>
        </w:tc>
        <w:tc>
          <w:tcPr>
            <w:tcW w:w="2028" w:type="dxa"/>
            <w:vAlign w:val="center"/>
          </w:tcPr>
          <w:p w14:paraId="15B0716D">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5"/>
              </w:rPr>
              <w:t>符合</w:t>
            </w:r>
          </w:p>
        </w:tc>
        <w:tc>
          <w:tcPr>
            <w:tcW w:w="2177" w:type="dxa"/>
            <w:vAlign w:val="center"/>
          </w:tcPr>
          <w:p w14:paraId="76017E2A">
            <w:pPr>
              <w:pStyle w:val="4"/>
              <w:keepNext w:val="0"/>
              <w:keepLines w:val="0"/>
              <w:pageBreakBefore w:val="0"/>
              <w:widowControl w:val="0"/>
              <w:kinsoku/>
              <w:wordWrap/>
              <w:overflowPunct/>
              <w:topLinePunct w:val="0"/>
              <w:autoSpaceDE/>
              <w:autoSpaceDN/>
              <w:bidi w:val="0"/>
              <w:adjustRightInd/>
              <w:snapToGrid/>
              <w:spacing w:line="560" w:lineRule="exact"/>
              <w:ind w:left="0" w:firstLine="816" w:firstLineChars="400"/>
              <w:jc w:val="both"/>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28"/>
              </w:rPr>
              <w:t>Ⅱ级</w:t>
            </w:r>
          </w:p>
        </w:tc>
        <w:tc>
          <w:tcPr>
            <w:tcW w:w="2242" w:type="dxa"/>
            <w:vAlign w:val="center"/>
          </w:tcPr>
          <w:p w14:paraId="026C8061">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8"/>
              </w:rPr>
              <w:t>Ⅲ级</w:t>
            </w:r>
          </w:p>
        </w:tc>
      </w:tr>
      <w:tr w14:paraId="2185F6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jc w:val="center"/>
        </w:trPr>
        <w:tc>
          <w:tcPr>
            <w:tcW w:w="2012" w:type="dxa"/>
            <w:vMerge w:val="continue"/>
            <w:tcBorders>
              <w:top w:val="nil"/>
            </w:tcBorders>
            <w:vAlign w:val="top"/>
          </w:tcPr>
          <w:p w14:paraId="031686C2">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方正仿宋_GBK" w:hAnsi="方正仿宋_GBK" w:eastAsia="方正仿宋_GBK" w:cs="方正仿宋_GBK"/>
                <w:color w:val="auto"/>
                <w:sz w:val="21"/>
              </w:rPr>
            </w:pPr>
          </w:p>
        </w:tc>
        <w:tc>
          <w:tcPr>
            <w:tcW w:w="2028" w:type="dxa"/>
            <w:vAlign w:val="center"/>
          </w:tcPr>
          <w:p w14:paraId="1FAF87E5">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3"/>
              </w:rPr>
              <w:t>不符合</w:t>
            </w:r>
          </w:p>
        </w:tc>
        <w:tc>
          <w:tcPr>
            <w:tcW w:w="2177" w:type="dxa"/>
            <w:vAlign w:val="center"/>
          </w:tcPr>
          <w:p w14:paraId="559524E7">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8"/>
              </w:rPr>
              <w:t>Ⅲ级</w:t>
            </w:r>
          </w:p>
        </w:tc>
        <w:tc>
          <w:tcPr>
            <w:tcW w:w="2242" w:type="dxa"/>
            <w:vAlign w:val="center"/>
          </w:tcPr>
          <w:p w14:paraId="208E0D78">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8"/>
              </w:rPr>
              <w:t>Ⅲ级</w:t>
            </w:r>
          </w:p>
        </w:tc>
      </w:tr>
      <w:tr w14:paraId="05464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1" w:hRule="atLeast"/>
          <w:jc w:val="center"/>
        </w:trPr>
        <w:tc>
          <w:tcPr>
            <w:tcW w:w="8459" w:type="dxa"/>
            <w:gridSpan w:val="4"/>
            <w:vAlign w:val="top"/>
          </w:tcPr>
          <w:p w14:paraId="423CEE00">
            <w:pPr>
              <w:pStyle w:val="4"/>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16"/>
              </w:rPr>
              <w:t>说明</w:t>
            </w:r>
            <w:r>
              <w:rPr>
                <w:rFonts w:hint="eastAsia" w:ascii="方正仿宋_GBK" w:hAnsi="方正仿宋_GBK" w:eastAsia="方正仿宋_GBK" w:cs="方正仿宋_GBK"/>
                <w:color w:val="auto"/>
                <w:spacing w:val="-15"/>
              </w:rPr>
              <w:t>：根据职业病危害因素性质与接触水平的</w:t>
            </w:r>
            <w:r>
              <w:rPr>
                <w:rFonts w:hint="eastAsia" w:ascii="方正仿宋_GBK" w:hAnsi="方正仿宋_GBK" w:eastAsia="方正仿宋_GBK" w:cs="方正仿宋_GBK"/>
                <w:color w:val="auto"/>
                <w:spacing w:val="-16"/>
              </w:rPr>
              <w:t>4种组合情形，分别统计接触总</w:t>
            </w:r>
            <w:r>
              <w:rPr>
                <w:rFonts w:hint="eastAsia" w:ascii="方正仿宋_GBK" w:hAnsi="方正仿宋_GBK" w:eastAsia="方正仿宋_GBK" w:cs="方正仿宋_GBK"/>
                <w:color w:val="auto"/>
                <w:spacing w:val="-14"/>
              </w:rPr>
              <w:t>人</w:t>
            </w:r>
            <w:r>
              <w:rPr>
                <w:rFonts w:hint="eastAsia" w:ascii="方正仿宋_GBK" w:hAnsi="方正仿宋_GBK" w:eastAsia="方正仿宋_GBK" w:cs="方正仿宋_GBK"/>
                <w:color w:val="auto"/>
                <w:spacing w:val="-20"/>
              </w:rPr>
              <w:t>数，并确定</w:t>
            </w:r>
            <w:r>
              <w:rPr>
                <w:rFonts w:hint="eastAsia" w:ascii="方正仿宋_GBK" w:hAnsi="方正仿宋_GBK" w:eastAsia="方正仿宋_GBK" w:cs="方正仿宋_GBK"/>
                <w:color w:val="auto"/>
                <w:spacing w:val="-19"/>
              </w:rPr>
              <w:t>相应风险等级，以最高风险等级作为风险分级的最终结果。对于</w:t>
            </w:r>
            <w:r>
              <w:rPr>
                <w:rFonts w:hint="eastAsia" w:ascii="方正仿宋_GBK" w:hAnsi="方正仿宋_GBK" w:eastAsia="方正仿宋_GBK" w:cs="方正仿宋_GBK"/>
                <w:color w:val="auto"/>
                <w:spacing w:val="-20"/>
              </w:rPr>
              <w:t>同</w:t>
            </w:r>
            <w:r>
              <w:rPr>
                <w:rFonts w:hint="eastAsia" w:ascii="方正仿宋_GBK" w:hAnsi="方正仿宋_GBK" w:eastAsia="方正仿宋_GBK" w:cs="方正仿宋_GBK"/>
                <w:color w:val="auto"/>
                <w:spacing w:val="-15"/>
              </w:rPr>
              <w:t>一</w:t>
            </w:r>
            <w:r>
              <w:rPr>
                <w:rFonts w:hint="eastAsia" w:ascii="方正仿宋_GBK" w:hAnsi="方正仿宋_GBK" w:eastAsia="方正仿宋_GBK" w:cs="方正仿宋_GBK"/>
                <w:color w:val="auto"/>
                <w:spacing w:val="4"/>
              </w:rPr>
              <w:t>岗位内性质相同的职业病危害因素，其接触人数仅统计1次。</w:t>
            </w:r>
          </w:p>
        </w:tc>
      </w:tr>
    </w:tbl>
    <w:p w14:paraId="6783F6E1">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default" w:ascii="Times New Roman" w:hAnsi="Times New Roman" w:eastAsia="方正仿宋_GBK" w:cs="Times New Roman"/>
          <w:spacing w:val="1"/>
          <w:sz w:val="32"/>
          <w:szCs w:val="32"/>
        </w:rPr>
      </w:pPr>
      <w:r>
        <w:rPr>
          <w:rFonts w:hint="default" w:ascii="Times New Roman" w:hAnsi="Times New Roman" w:eastAsia="方正仿宋_GBK" w:cs="Times New Roman"/>
          <w:spacing w:val="1"/>
          <w:sz w:val="32"/>
          <w:szCs w:val="32"/>
          <w:lang w:eastAsia="zh-CN"/>
        </w:rPr>
        <w:t>未</w:t>
      </w:r>
      <w:r>
        <w:rPr>
          <w:rFonts w:hint="eastAsia" w:ascii="方正仿宋_GBK" w:hAnsi="方正仿宋_GBK" w:eastAsia="方正仿宋_GBK" w:cs="方正仿宋_GBK"/>
          <w:spacing w:val="1"/>
          <w:sz w:val="32"/>
          <w:szCs w:val="32"/>
          <w:lang w:eastAsia="zh-CN"/>
        </w:rPr>
        <w:t>取得前述报告的用人单位，按照《建设项目职业病危害风险分类管理目录》（国卫办职健发〔2021〕5号）确定用人单位职业病危害风险等级。其中，行业职业病危害风险严重的为Ⅲ级，一般的为Ⅱ级。</w:t>
      </w:r>
    </w:p>
    <w:p w14:paraId="7B5E38E4">
      <w:pPr>
        <w:keepNext w:val="0"/>
        <w:keepLines w:val="0"/>
        <w:pageBreakBefore w:val="0"/>
        <w:widowControl w:val="0"/>
        <w:numPr>
          <w:ilvl w:val="0"/>
          <w:numId w:val="0"/>
        </w:numPr>
        <w:kinsoku/>
        <w:wordWrap/>
        <w:overflowPunct/>
        <w:topLinePunct w:val="0"/>
        <w:autoSpaceDE/>
        <w:autoSpaceDN/>
        <w:bidi w:val="0"/>
        <w:adjustRightInd/>
        <w:snapToGrid/>
        <w:spacing w:before="1" w:line="560" w:lineRule="exact"/>
        <w:ind w:firstLine="672" w:firstLineChars="200"/>
        <w:textAlignment w:val="auto"/>
        <w:outlineLvl w:val="2"/>
        <w:rPr>
          <w:rFonts w:hint="default" w:ascii="Times New Roman" w:hAnsi="Times New Roman" w:eastAsia="国标黑体" w:cs="Times New Roman"/>
          <w:color w:val="auto"/>
          <w:spacing w:val="8"/>
          <w:sz w:val="32"/>
          <w:szCs w:val="32"/>
        </w:rPr>
      </w:pPr>
      <w:r>
        <w:rPr>
          <w:rFonts w:hint="default" w:ascii="Times New Roman" w:hAnsi="Times New Roman" w:eastAsia="国标黑体" w:cs="Times New Roman"/>
          <w:color w:val="auto"/>
          <w:spacing w:val="8"/>
          <w:sz w:val="32"/>
          <w:szCs w:val="32"/>
          <w:lang w:eastAsia="zh-CN"/>
        </w:rPr>
        <w:t>二、</w:t>
      </w:r>
      <w:r>
        <w:rPr>
          <w:rFonts w:hint="default" w:ascii="Times New Roman" w:hAnsi="Times New Roman" w:eastAsia="国标黑体" w:cs="Times New Roman"/>
          <w:color w:val="auto"/>
          <w:spacing w:val="8"/>
          <w:sz w:val="32"/>
          <w:szCs w:val="32"/>
        </w:rPr>
        <w:t>职业卫生管理状况分级</w:t>
      </w:r>
    </w:p>
    <w:p w14:paraId="4B72A51C">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default" w:ascii="Times New Roman" w:hAnsi="Times New Roman" w:eastAsia="方正仿宋_GBK" w:cs="Times New Roman"/>
          <w:spacing w:val="1"/>
          <w:sz w:val="32"/>
          <w:szCs w:val="32"/>
        </w:rPr>
      </w:pPr>
      <w:r>
        <w:rPr>
          <w:rFonts w:hint="eastAsia" w:ascii="方正仿宋_GBK" w:hAnsi="方正仿宋_GBK" w:eastAsia="方正仿宋_GBK" w:cs="方正仿宋_GBK"/>
          <w:spacing w:val="1"/>
          <w:sz w:val="32"/>
          <w:szCs w:val="32"/>
          <w:lang w:eastAsia="zh-CN"/>
        </w:rPr>
        <w:t>根据用人单位职业病防治管理情况确定职业卫生管理状况等级，分为A级、B级、C级3个等级（A级最优，C级最差）。</w:t>
      </w:r>
    </w:p>
    <w:p w14:paraId="437498B0">
      <w:pPr>
        <w:keepNext w:val="0"/>
        <w:keepLines w:val="0"/>
        <w:pageBreakBefore w:val="0"/>
        <w:widowControl w:val="0"/>
        <w:numPr>
          <w:ilvl w:val="0"/>
          <w:numId w:val="0"/>
        </w:numPr>
        <w:kinsoku/>
        <w:wordWrap/>
        <w:overflowPunct/>
        <w:topLinePunct w:val="0"/>
        <w:autoSpaceDE/>
        <w:autoSpaceDN/>
        <w:bidi w:val="0"/>
        <w:adjustRightInd/>
        <w:snapToGrid/>
        <w:spacing w:before="1" w:line="560" w:lineRule="exact"/>
        <w:ind w:firstLine="640" w:firstLineChars="200"/>
        <w:textAlignment w:val="auto"/>
        <w:outlineLvl w:val="2"/>
        <w:rPr>
          <w:rFonts w:hint="default" w:ascii="Times New Roman" w:hAnsi="Times New Roman" w:eastAsia="方正仿宋_GBK" w:cs="Times New Roman"/>
          <w:spacing w:val="1"/>
          <w:sz w:val="32"/>
          <w:szCs w:val="32"/>
        </w:rPr>
      </w:pPr>
      <w:r>
        <w:rPr>
          <w:rFonts w:hint="default" w:ascii="Times New Roman" w:hAnsi="Times New Roman" w:eastAsia="华文楷体" w:cs="Times New Roman"/>
          <w:color w:val="auto"/>
          <w:spacing w:val="0"/>
          <w:sz w:val="32"/>
          <w:szCs w:val="32"/>
          <w:lang w:eastAsia="zh-CN"/>
        </w:rPr>
        <w:t>（一）</w:t>
      </w:r>
      <w:r>
        <w:rPr>
          <w:rFonts w:hint="eastAsia" w:ascii="Times New Roman" w:hAnsi="Times New Roman" w:eastAsia="华文楷体" w:cs="Times New Roman"/>
          <w:color w:val="auto"/>
          <w:spacing w:val="0"/>
          <w:sz w:val="32"/>
          <w:szCs w:val="32"/>
          <w:lang w:eastAsia="zh-CN"/>
        </w:rPr>
        <w:t>自查</w:t>
      </w:r>
      <w:r>
        <w:rPr>
          <w:rFonts w:hint="default" w:ascii="Times New Roman" w:hAnsi="Times New Roman" w:eastAsia="华文楷体" w:cs="Times New Roman"/>
          <w:color w:val="auto"/>
          <w:spacing w:val="0"/>
          <w:sz w:val="32"/>
          <w:szCs w:val="32"/>
        </w:rPr>
        <w:t>评估内容。</w:t>
      </w:r>
      <w:r>
        <w:rPr>
          <w:rFonts w:hint="default" w:ascii="Times New Roman" w:hAnsi="Times New Roman" w:eastAsia="方正仿宋_GBK" w:cs="Times New Roman"/>
          <w:spacing w:val="1"/>
          <w:sz w:val="32"/>
          <w:szCs w:val="32"/>
          <w:lang w:eastAsia="zh-CN"/>
        </w:rPr>
        <w:t>根据《中华人民共和国职业病防治</w:t>
      </w:r>
      <w:r>
        <w:rPr>
          <w:rFonts w:hint="eastAsia" w:ascii="方正仿宋_GBK" w:hAnsi="方正仿宋_GBK" w:eastAsia="方正仿宋_GBK" w:cs="方正仿宋_GBK"/>
          <w:spacing w:val="1"/>
          <w:sz w:val="32"/>
          <w:szCs w:val="32"/>
          <w:lang w:eastAsia="zh-CN"/>
        </w:rPr>
        <w:t>法》等法律法规，确定用人单位职业卫生管理状况自查评估内容，</w:t>
      </w:r>
      <w:r>
        <w:rPr>
          <w:rFonts w:hint="eastAsia" w:ascii="方正仿宋_GBK" w:hAnsi="方正仿宋_GBK" w:eastAsia="方正仿宋_GBK" w:cs="方正仿宋_GBK"/>
          <w:spacing w:val="1"/>
          <w:sz w:val="32"/>
          <w:szCs w:val="32"/>
        </w:rPr>
        <w:t>职工总人数</w:t>
      </w:r>
      <w:r>
        <w:rPr>
          <w:rFonts w:hint="eastAsia" w:ascii="方正仿宋_GBK" w:hAnsi="方正仿宋_GBK" w:eastAsia="方正仿宋_GBK" w:cs="方正仿宋_GBK"/>
          <w:spacing w:val="1"/>
          <w:sz w:val="32"/>
          <w:szCs w:val="32"/>
          <w:lang w:val="en-US" w:eastAsia="zh-CN"/>
        </w:rPr>
        <w:t>100</w:t>
      </w:r>
      <w:r>
        <w:rPr>
          <w:rFonts w:hint="eastAsia" w:ascii="方正仿宋_GBK" w:hAnsi="方正仿宋_GBK" w:eastAsia="方正仿宋_GBK" w:cs="方正仿宋_GBK"/>
          <w:spacing w:val="1"/>
          <w:sz w:val="32"/>
          <w:szCs w:val="32"/>
        </w:rPr>
        <w:t>人及以上的</w:t>
      </w:r>
      <w:r>
        <w:rPr>
          <w:rFonts w:hint="eastAsia" w:ascii="方正仿宋_GBK" w:hAnsi="方正仿宋_GBK" w:eastAsia="方正仿宋_GBK" w:cs="方正仿宋_GBK"/>
          <w:spacing w:val="1"/>
          <w:sz w:val="32"/>
          <w:szCs w:val="32"/>
          <w:lang w:eastAsia="zh-CN"/>
        </w:rPr>
        <w:t>用人单位使用附件</w:t>
      </w:r>
      <w:r>
        <w:rPr>
          <w:rFonts w:hint="eastAsia" w:ascii="方正仿宋_GBK" w:hAnsi="方正仿宋_GBK" w:eastAsia="方正仿宋_GBK" w:cs="方正仿宋_GBK"/>
          <w:spacing w:val="1"/>
          <w:sz w:val="32"/>
          <w:szCs w:val="32"/>
          <w:lang w:val="en-US" w:eastAsia="zh-CN"/>
        </w:rPr>
        <w:t>3.1</w:t>
      </w:r>
      <w:r>
        <w:rPr>
          <w:rFonts w:hint="eastAsia" w:ascii="方正仿宋_GBK" w:hAnsi="方正仿宋_GBK" w:eastAsia="方正仿宋_GBK" w:cs="方正仿宋_GBK"/>
          <w:spacing w:val="1"/>
          <w:sz w:val="32"/>
          <w:szCs w:val="32"/>
        </w:rPr>
        <w:t>用人单位职业卫生管理自查</w:t>
      </w:r>
      <w:r>
        <w:rPr>
          <w:rFonts w:hint="eastAsia" w:ascii="方正仿宋_GBK" w:hAnsi="方正仿宋_GBK" w:eastAsia="方正仿宋_GBK" w:cs="方正仿宋_GBK"/>
          <w:spacing w:val="1"/>
          <w:sz w:val="32"/>
          <w:szCs w:val="32"/>
          <w:lang w:eastAsia="zh-CN"/>
        </w:rPr>
        <w:t>评估</w:t>
      </w:r>
      <w:r>
        <w:rPr>
          <w:rFonts w:hint="eastAsia" w:ascii="方正仿宋_GBK" w:hAnsi="方正仿宋_GBK" w:eastAsia="方正仿宋_GBK" w:cs="方正仿宋_GBK"/>
          <w:spacing w:val="1"/>
          <w:sz w:val="32"/>
          <w:szCs w:val="32"/>
        </w:rPr>
        <w:t>表</w:t>
      </w:r>
      <w:r>
        <w:rPr>
          <w:rFonts w:hint="eastAsia" w:ascii="方正仿宋_GBK" w:hAnsi="方正仿宋_GBK" w:eastAsia="方正仿宋_GBK" w:cs="方正仿宋_GBK"/>
          <w:spacing w:val="1"/>
          <w:sz w:val="32"/>
          <w:szCs w:val="32"/>
          <w:lang w:eastAsia="zh-CN"/>
        </w:rPr>
        <w:t>自查评估</w:t>
      </w:r>
      <w:r>
        <w:rPr>
          <w:rFonts w:hint="eastAsia" w:ascii="方正仿宋_GBK" w:hAnsi="方正仿宋_GBK" w:eastAsia="方正仿宋_GBK" w:cs="方正仿宋_GBK"/>
          <w:spacing w:val="1"/>
          <w:sz w:val="32"/>
          <w:szCs w:val="32"/>
        </w:rPr>
        <w:t>，共</w:t>
      </w:r>
      <w:r>
        <w:rPr>
          <w:rFonts w:hint="eastAsia" w:ascii="方正仿宋_GBK" w:hAnsi="方正仿宋_GBK" w:eastAsia="方正仿宋_GBK" w:cs="方正仿宋_GBK"/>
          <w:spacing w:val="1"/>
          <w:sz w:val="32"/>
          <w:szCs w:val="32"/>
          <w:lang w:val="en-US" w:eastAsia="zh-CN"/>
        </w:rPr>
        <w:t>10</w:t>
      </w:r>
      <w:r>
        <w:rPr>
          <w:rFonts w:hint="eastAsia" w:ascii="方正仿宋_GBK" w:hAnsi="方正仿宋_GBK" w:eastAsia="方正仿宋_GBK" w:cs="方正仿宋_GBK"/>
          <w:spacing w:val="1"/>
          <w:sz w:val="32"/>
          <w:szCs w:val="32"/>
        </w:rPr>
        <w:t>类</w:t>
      </w:r>
      <w:r>
        <w:rPr>
          <w:rFonts w:hint="eastAsia" w:ascii="方正仿宋_GBK" w:hAnsi="方正仿宋_GBK" w:eastAsia="方正仿宋_GBK" w:cs="方正仿宋_GBK"/>
          <w:spacing w:val="1"/>
          <w:sz w:val="32"/>
          <w:szCs w:val="32"/>
          <w:lang w:eastAsia="zh-CN"/>
        </w:rPr>
        <w:t>、</w:t>
      </w:r>
      <w:r>
        <w:rPr>
          <w:rFonts w:hint="eastAsia" w:ascii="方正仿宋_GBK" w:hAnsi="方正仿宋_GBK" w:eastAsia="方正仿宋_GBK" w:cs="方正仿宋_GBK"/>
          <w:spacing w:val="1"/>
          <w:sz w:val="32"/>
          <w:szCs w:val="32"/>
          <w:lang w:val="en-US" w:eastAsia="zh-CN"/>
        </w:rPr>
        <w:t>45</w:t>
      </w:r>
      <w:r>
        <w:rPr>
          <w:rFonts w:hint="eastAsia" w:ascii="方正仿宋_GBK" w:hAnsi="方正仿宋_GBK" w:eastAsia="方正仿宋_GBK" w:cs="方正仿宋_GBK"/>
          <w:spacing w:val="1"/>
          <w:sz w:val="32"/>
          <w:szCs w:val="32"/>
        </w:rPr>
        <w:t>项内容</w:t>
      </w:r>
      <w:r>
        <w:rPr>
          <w:rFonts w:hint="eastAsia" w:ascii="方正仿宋_GBK" w:hAnsi="方正仿宋_GBK" w:eastAsia="方正仿宋_GBK" w:cs="方正仿宋_GBK"/>
          <w:spacing w:val="1"/>
          <w:sz w:val="32"/>
          <w:szCs w:val="32"/>
          <w:lang w:eastAsia="zh-CN"/>
        </w:rPr>
        <w:t>；</w:t>
      </w:r>
      <w:r>
        <w:rPr>
          <w:rFonts w:hint="eastAsia" w:ascii="方正仿宋_GBK" w:hAnsi="方正仿宋_GBK" w:eastAsia="方正仿宋_GBK" w:cs="方正仿宋_GBK"/>
          <w:spacing w:val="1"/>
          <w:sz w:val="32"/>
          <w:szCs w:val="32"/>
        </w:rPr>
        <w:t>职工总人数</w:t>
      </w:r>
      <w:r>
        <w:rPr>
          <w:rFonts w:hint="eastAsia" w:ascii="方正仿宋_GBK" w:hAnsi="方正仿宋_GBK" w:eastAsia="方正仿宋_GBK" w:cs="方正仿宋_GBK"/>
          <w:spacing w:val="1"/>
          <w:sz w:val="32"/>
          <w:szCs w:val="32"/>
          <w:lang w:val="en-US" w:eastAsia="zh-CN"/>
        </w:rPr>
        <w:t>100</w:t>
      </w:r>
      <w:r>
        <w:rPr>
          <w:rFonts w:hint="eastAsia" w:ascii="方正仿宋_GBK" w:hAnsi="方正仿宋_GBK" w:eastAsia="方正仿宋_GBK" w:cs="方正仿宋_GBK"/>
          <w:spacing w:val="1"/>
          <w:sz w:val="32"/>
          <w:szCs w:val="32"/>
        </w:rPr>
        <w:t>人以下的</w:t>
      </w:r>
      <w:r>
        <w:rPr>
          <w:rFonts w:hint="eastAsia" w:ascii="方正仿宋_GBK" w:hAnsi="方正仿宋_GBK" w:eastAsia="方正仿宋_GBK" w:cs="方正仿宋_GBK"/>
          <w:spacing w:val="1"/>
          <w:sz w:val="32"/>
          <w:szCs w:val="32"/>
          <w:lang w:eastAsia="zh-CN"/>
        </w:rPr>
        <w:t>用人单位使用附件</w:t>
      </w:r>
      <w:r>
        <w:rPr>
          <w:rFonts w:hint="eastAsia" w:ascii="方正仿宋_GBK" w:hAnsi="方正仿宋_GBK" w:eastAsia="方正仿宋_GBK" w:cs="方正仿宋_GBK"/>
          <w:spacing w:val="1"/>
          <w:sz w:val="32"/>
          <w:szCs w:val="32"/>
          <w:lang w:val="en-US" w:eastAsia="zh-CN"/>
        </w:rPr>
        <w:t>3.2</w:t>
      </w:r>
      <w:r>
        <w:rPr>
          <w:rFonts w:hint="eastAsia" w:ascii="方正仿宋_GBK" w:hAnsi="方正仿宋_GBK" w:eastAsia="方正仿宋_GBK" w:cs="方正仿宋_GBK"/>
          <w:spacing w:val="1"/>
          <w:sz w:val="32"/>
          <w:szCs w:val="32"/>
        </w:rPr>
        <w:t>用人单位职业卫生管理自查表</w:t>
      </w:r>
      <w:r>
        <w:rPr>
          <w:rFonts w:hint="eastAsia" w:ascii="方正仿宋_GBK" w:hAnsi="方正仿宋_GBK" w:eastAsia="方正仿宋_GBK" w:cs="方正仿宋_GBK"/>
          <w:spacing w:val="1"/>
          <w:sz w:val="32"/>
          <w:szCs w:val="32"/>
          <w:lang w:eastAsia="zh-CN"/>
        </w:rPr>
        <w:t>自查评估</w:t>
      </w:r>
      <w:r>
        <w:rPr>
          <w:rFonts w:hint="eastAsia" w:ascii="方正仿宋_GBK" w:hAnsi="方正仿宋_GBK" w:eastAsia="方正仿宋_GBK" w:cs="方正仿宋_GBK"/>
          <w:spacing w:val="1"/>
          <w:sz w:val="32"/>
          <w:szCs w:val="32"/>
        </w:rPr>
        <w:t>，共1</w:t>
      </w:r>
      <w:r>
        <w:rPr>
          <w:rFonts w:hint="eastAsia" w:ascii="方正仿宋_GBK" w:hAnsi="方正仿宋_GBK" w:eastAsia="方正仿宋_GBK" w:cs="方正仿宋_GBK"/>
          <w:spacing w:val="1"/>
          <w:sz w:val="32"/>
          <w:szCs w:val="32"/>
          <w:lang w:val="en-US" w:eastAsia="zh-CN"/>
        </w:rPr>
        <w:t>0</w:t>
      </w:r>
      <w:r>
        <w:rPr>
          <w:rFonts w:hint="eastAsia" w:ascii="方正仿宋_GBK" w:hAnsi="方正仿宋_GBK" w:eastAsia="方正仿宋_GBK" w:cs="方正仿宋_GBK"/>
          <w:spacing w:val="1"/>
          <w:sz w:val="32"/>
          <w:szCs w:val="32"/>
        </w:rPr>
        <w:t>类</w:t>
      </w:r>
      <w:r>
        <w:rPr>
          <w:rFonts w:hint="eastAsia" w:ascii="方正仿宋_GBK" w:hAnsi="方正仿宋_GBK" w:eastAsia="方正仿宋_GBK" w:cs="方正仿宋_GBK"/>
          <w:spacing w:val="1"/>
          <w:sz w:val="32"/>
          <w:szCs w:val="32"/>
          <w:lang w:eastAsia="zh-CN"/>
        </w:rPr>
        <w:t>、</w:t>
      </w:r>
      <w:r>
        <w:rPr>
          <w:rFonts w:hint="eastAsia" w:ascii="方正仿宋_GBK" w:hAnsi="方正仿宋_GBK" w:eastAsia="方正仿宋_GBK" w:cs="方正仿宋_GBK"/>
          <w:spacing w:val="1"/>
          <w:sz w:val="32"/>
          <w:szCs w:val="32"/>
        </w:rPr>
        <w:t>22项内容</w:t>
      </w:r>
      <w:r>
        <w:rPr>
          <w:rFonts w:hint="eastAsia" w:ascii="方正仿宋_GBK" w:hAnsi="方正仿宋_GBK" w:eastAsia="方正仿宋_GBK" w:cs="方正仿宋_GBK"/>
          <w:spacing w:val="1"/>
          <w:sz w:val="32"/>
          <w:szCs w:val="32"/>
          <w:lang w:eastAsia="zh-CN"/>
        </w:rPr>
        <w:t>。内容应涵盖职业病防治管理措施，职业病危害项目申报，建设项目职业病防护设施“三同时”，工作场所职业卫生条件，职业病危害因素日常监测、检测和评价，职业病防护设施和个人防护用品，职业病危害告知，职业卫生宣传教育培训，职业健康监护，应急救援和职业病危害事故调查处理等，并根据评估内容在职业卫生管理中的</w:t>
      </w:r>
      <w:r>
        <w:rPr>
          <w:rFonts w:hint="default" w:ascii="Times New Roman" w:hAnsi="Times New Roman" w:eastAsia="方正仿宋_GBK" w:cs="Times New Roman"/>
          <w:spacing w:val="1"/>
          <w:sz w:val="32"/>
          <w:szCs w:val="32"/>
          <w:lang w:eastAsia="zh-CN"/>
        </w:rPr>
        <w:t>重要程度设定分值，同步设置必要的关键项。</w:t>
      </w:r>
    </w:p>
    <w:p w14:paraId="613D9B72">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0" w:firstLineChars="200"/>
        <w:textAlignment w:val="auto"/>
        <w:outlineLvl w:val="2"/>
        <w:rPr>
          <w:rFonts w:hint="eastAsia" w:ascii="方正仿宋_GBK" w:hAnsi="方正仿宋_GBK" w:eastAsia="方正仿宋_GBK" w:cs="方正仿宋_GBK"/>
          <w:spacing w:val="1"/>
          <w:sz w:val="32"/>
          <w:szCs w:val="32"/>
          <w:lang w:eastAsia="zh-CN"/>
        </w:rPr>
      </w:pPr>
      <w:r>
        <w:rPr>
          <w:rFonts w:hint="default" w:ascii="Times New Roman" w:hAnsi="Times New Roman" w:eastAsia="华文楷体" w:cs="Times New Roman"/>
          <w:color w:val="auto"/>
          <w:spacing w:val="0"/>
          <w:sz w:val="32"/>
          <w:szCs w:val="32"/>
          <w:lang w:eastAsia="zh-CN"/>
        </w:rPr>
        <w:t>（二）</w:t>
      </w:r>
      <w:r>
        <w:rPr>
          <w:rFonts w:hint="eastAsia" w:ascii="Times New Roman" w:hAnsi="Times New Roman" w:eastAsia="华文楷体" w:cs="Times New Roman"/>
          <w:color w:val="auto"/>
          <w:spacing w:val="0"/>
          <w:sz w:val="32"/>
          <w:szCs w:val="32"/>
          <w:lang w:eastAsia="zh-CN"/>
        </w:rPr>
        <w:t>自查</w:t>
      </w:r>
      <w:r>
        <w:rPr>
          <w:rFonts w:hint="default" w:ascii="Times New Roman" w:hAnsi="Times New Roman" w:eastAsia="华文楷体" w:cs="Times New Roman"/>
          <w:color w:val="auto"/>
          <w:spacing w:val="0"/>
          <w:sz w:val="32"/>
          <w:szCs w:val="32"/>
        </w:rPr>
        <w:t>评估方法。</w:t>
      </w:r>
      <w:r>
        <w:rPr>
          <w:rFonts w:hint="default" w:ascii="Times New Roman" w:hAnsi="Times New Roman" w:eastAsia="方正仿宋_GBK" w:cs="Times New Roman"/>
          <w:spacing w:val="1"/>
          <w:sz w:val="32"/>
          <w:szCs w:val="32"/>
          <w:lang w:eastAsia="zh-CN"/>
        </w:rPr>
        <w:t>通过查阅文件、资料和现场核实等方法对</w:t>
      </w:r>
      <w:r>
        <w:rPr>
          <w:rFonts w:hint="eastAsia" w:ascii="方正仿宋_GBK" w:hAnsi="方正仿宋_GBK" w:eastAsia="方正仿宋_GBK" w:cs="方正仿宋_GBK"/>
          <w:spacing w:val="1"/>
          <w:sz w:val="32"/>
          <w:szCs w:val="32"/>
          <w:lang w:eastAsia="zh-CN"/>
        </w:rPr>
        <w:t>用人单位近3年的职业卫生管理状况进行自查评估。自查评估中发现有关内容为不符合时要及时改正，不能及时改正的，要制定改正计划和方案并组织落实。</w:t>
      </w:r>
    </w:p>
    <w:p w14:paraId="0BCF097F">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eastAsia" w:ascii="方正仿宋_GBK" w:hAnsi="方正仿宋_GBK" w:eastAsia="方正仿宋_GBK" w:cs="方正仿宋_GBK"/>
          <w:spacing w:val="1"/>
          <w:sz w:val="32"/>
          <w:szCs w:val="32"/>
        </w:rPr>
      </w:pPr>
      <w:r>
        <w:rPr>
          <w:rFonts w:hint="eastAsia" w:ascii="方正仿宋_GBK" w:hAnsi="方正仿宋_GBK" w:eastAsia="方正仿宋_GBK" w:cs="方正仿宋_GBK"/>
          <w:spacing w:val="1"/>
          <w:sz w:val="32"/>
          <w:szCs w:val="32"/>
        </w:rPr>
        <w:t>依据检查项目在职业卫生管理中的重要程度，</w:t>
      </w:r>
      <w:r>
        <w:rPr>
          <w:rFonts w:hint="eastAsia" w:ascii="方正仿宋_GBK" w:hAnsi="方正仿宋_GBK" w:eastAsia="方正仿宋_GBK" w:cs="方正仿宋_GBK"/>
          <w:spacing w:val="1"/>
          <w:sz w:val="32"/>
          <w:szCs w:val="32"/>
          <w:lang w:eastAsia="zh-CN"/>
        </w:rPr>
        <w:t>即对劳动者健康及其相关权益影响程度，</w:t>
      </w:r>
      <w:r>
        <w:rPr>
          <w:rFonts w:hint="eastAsia" w:ascii="方正仿宋_GBK" w:hAnsi="方正仿宋_GBK" w:eastAsia="方正仿宋_GBK" w:cs="方正仿宋_GBK"/>
          <w:spacing w:val="1"/>
          <w:sz w:val="32"/>
          <w:szCs w:val="32"/>
        </w:rPr>
        <w:t>检查项目分值采用</w:t>
      </w:r>
      <w:r>
        <w:rPr>
          <w:rFonts w:hint="eastAsia" w:ascii="方正仿宋_GBK" w:hAnsi="方正仿宋_GBK" w:eastAsia="方正仿宋_GBK" w:cs="方正仿宋_GBK"/>
          <w:spacing w:val="1"/>
          <w:sz w:val="32"/>
          <w:szCs w:val="32"/>
          <w:lang w:eastAsia="zh-CN"/>
        </w:rPr>
        <w:t>五</w:t>
      </w:r>
      <w:r>
        <w:rPr>
          <w:rFonts w:hint="eastAsia" w:ascii="方正仿宋_GBK" w:hAnsi="方正仿宋_GBK" w:eastAsia="方正仿宋_GBK" w:cs="方正仿宋_GBK"/>
          <w:spacing w:val="1"/>
          <w:sz w:val="32"/>
          <w:szCs w:val="32"/>
        </w:rPr>
        <w:t>档制，即关键项（★）、20分、</w:t>
      </w:r>
      <w:r>
        <w:rPr>
          <w:rFonts w:hint="eastAsia" w:ascii="方正仿宋_GBK" w:hAnsi="方正仿宋_GBK" w:eastAsia="方正仿宋_GBK" w:cs="方正仿宋_GBK"/>
          <w:spacing w:val="1"/>
          <w:sz w:val="32"/>
          <w:szCs w:val="32"/>
          <w:lang w:val="en-US" w:eastAsia="zh-CN"/>
        </w:rPr>
        <w:t>15分、</w:t>
      </w:r>
      <w:r>
        <w:rPr>
          <w:rFonts w:hint="eastAsia" w:ascii="方正仿宋_GBK" w:hAnsi="方正仿宋_GBK" w:eastAsia="方正仿宋_GBK" w:cs="方正仿宋_GBK"/>
          <w:spacing w:val="1"/>
          <w:sz w:val="32"/>
          <w:szCs w:val="32"/>
        </w:rPr>
        <w:t>10分和5分。</w:t>
      </w:r>
    </w:p>
    <w:p w14:paraId="27A5BAAA">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eastAsia" w:ascii="方正仿宋_GBK" w:hAnsi="方正仿宋_GBK" w:eastAsia="方正仿宋_GBK" w:cs="方正仿宋_GBK"/>
          <w:spacing w:val="1"/>
          <w:sz w:val="32"/>
          <w:szCs w:val="32"/>
        </w:rPr>
      </w:pPr>
      <w:r>
        <w:rPr>
          <w:rFonts w:hint="eastAsia" w:ascii="方正仿宋_GBK" w:hAnsi="方正仿宋_GBK" w:eastAsia="方正仿宋_GBK" w:cs="方正仿宋_GBK"/>
          <w:spacing w:val="1"/>
          <w:sz w:val="32"/>
          <w:szCs w:val="32"/>
        </w:rPr>
        <w:t>自查内容为“符合”得满分，自查内容为“基本符合”得一半分（满分的50%）,自查内容为“不符合”得0分，合理缺项不得分。</w:t>
      </w:r>
    </w:p>
    <w:p w14:paraId="656EF280">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eastAsia" w:ascii="方正仿宋_GBK" w:hAnsi="方正仿宋_GBK" w:eastAsia="方正仿宋_GBK" w:cs="方正仿宋_GBK"/>
          <w:spacing w:val="1"/>
          <w:sz w:val="32"/>
          <w:szCs w:val="32"/>
          <w:lang w:eastAsia="zh-CN"/>
        </w:rPr>
      </w:pPr>
      <w:r>
        <w:rPr>
          <w:rFonts w:hint="eastAsia" w:ascii="方正仿宋_GBK" w:hAnsi="方正仿宋_GBK" w:eastAsia="方正仿宋_GBK" w:cs="方正仿宋_GBK"/>
          <w:spacing w:val="1"/>
          <w:sz w:val="32"/>
          <w:szCs w:val="32"/>
          <w:lang w:eastAsia="zh-CN"/>
        </w:rPr>
        <w:t>根据评估情况计算得分，最终采用百分制对所得分值予以标化。标化得分=实际得分/满分分值×100，并保留一位小数，</w:t>
      </w:r>
      <w:r>
        <w:rPr>
          <w:rFonts w:hint="eastAsia" w:ascii="方正仿宋_GBK" w:hAnsi="方正仿宋_GBK" w:eastAsia="方正仿宋_GBK" w:cs="方正仿宋_GBK"/>
          <w:spacing w:val="1"/>
          <w:sz w:val="32"/>
          <w:szCs w:val="32"/>
        </w:rPr>
        <w:t>实际得分和满分</w:t>
      </w:r>
      <w:r>
        <w:rPr>
          <w:rFonts w:hint="eastAsia" w:ascii="方正仿宋_GBK" w:hAnsi="方正仿宋_GBK" w:eastAsia="方正仿宋_GBK" w:cs="方正仿宋_GBK"/>
          <w:spacing w:val="1"/>
          <w:sz w:val="32"/>
          <w:szCs w:val="32"/>
          <w:lang w:eastAsia="zh-CN"/>
        </w:rPr>
        <w:t>分值</w:t>
      </w:r>
      <w:r>
        <w:rPr>
          <w:rFonts w:hint="eastAsia" w:ascii="方正仿宋_GBK" w:hAnsi="方正仿宋_GBK" w:eastAsia="方正仿宋_GBK" w:cs="方正仿宋_GBK"/>
          <w:spacing w:val="1"/>
          <w:sz w:val="32"/>
          <w:szCs w:val="32"/>
        </w:rPr>
        <w:t>均为不含合理缺项项目</w:t>
      </w:r>
      <w:r>
        <w:rPr>
          <w:rFonts w:hint="eastAsia" w:ascii="方正仿宋_GBK" w:hAnsi="方正仿宋_GBK" w:eastAsia="方正仿宋_GBK" w:cs="方正仿宋_GBK"/>
          <w:spacing w:val="1"/>
          <w:sz w:val="32"/>
          <w:szCs w:val="32"/>
          <w:lang w:eastAsia="zh-CN"/>
        </w:rPr>
        <w:t>的</w:t>
      </w:r>
      <w:r>
        <w:rPr>
          <w:rFonts w:hint="eastAsia" w:ascii="方正仿宋_GBK" w:hAnsi="方正仿宋_GBK" w:eastAsia="方正仿宋_GBK" w:cs="方正仿宋_GBK"/>
          <w:spacing w:val="1"/>
          <w:sz w:val="32"/>
          <w:szCs w:val="32"/>
        </w:rPr>
        <w:t>分值总和。</w:t>
      </w:r>
      <w:r>
        <w:rPr>
          <w:rFonts w:hint="eastAsia" w:ascii="方正仿宋_GBK" w:hAnsi="方正仿宋_GBK" w:eastAsia="方正仿宋_GBK" w:cs="方正仿宋_GBK"/>
          <w:spacing w:val="1"/>
          <w:sz w:val="32"/>
          <w:szCs w:val="32"/>
          <w:lang w:eastAsia="zh-CN"/>
        </w:rPr>
        <w:t>关键项</w:t>
      </w:r>
      <w:r>
        <w:rPr>
          <w:rFonts w:hint="eastAsia" w:ascii="方正仿宋_GBK" w:hAnsi="方正仿宋_GBK" w:eastAsia="方正仿宋_GBK" w:cs="方正仿宋_GBK"/>
          <w:spacing w:val="1"/>
          <w:sz w:val="32"/>
          <w:szCs w:val="32"/>
        </w:rPr>
        <w:t>（★）</w:t>
      </w:r>
      <w:r>
        <w:rPr>
          <w:rFonts w:hint="eastAsia" w:ascii="方正仿宋_GBK" w:hAnsi="方正仿宋_GBK" w:eastAsia="方正仿宋_GBK" w:cs="方正仿宋_GBK"/>
          <w:spacing w:val="1"/>
          <w:sz w:val="32"/>
          <w:szCs w:val="32"/>
          <w:lang w:eastAsia="zh-CN"/>
        </w:rPr>
        <w:t>作为否决项，不计入分值，关键项</w:t>
      </w:r>
      <w:r>
        <w:rPr>
          <w:rFonts w:hint="eastAsia" w:ascii="方正仿宋_GBK" w:hAnsi="方正仿宋_GBK" w:eastAsia="方正仿宋_GBK" w:cs="方正仿宋_GBK"/>
          <w:spacing w:val="1"/>
          <w:sz w:val="32"/>
          <w:szCs w:val="32"/>
        </w:rPr>
        <w:t>（★）</w:t>
      </w:r>
      <w:r>
        <w:rPr>
          <w:rFonts w:hint="eastAsia" w:ascii="方正仿宋_GBK" w:hAnsi="方正仿宋_GBK" w:eastAsia="方正仿宋_GBK" w:cs="方正仿宋_GBK"/>
          <w:spacing w:val="1"/>
          <w:sz w:val="32"/>
          <w:szCs w:val="32"/>
          <w:lang w:eastAsia="zh-CN"/>
        </w:rPr>
        <w:t>若不符合直接评估为C级。</w:t>
      </w:r>
    </w:p>
    <w:p w14:paraId="014F7958">
      <w:pPr>
        <w:keepNext w:val="0"/>
        <w:keepLines w:val="0"/>
        <w:pageBreakBefore w:val="0"/>
        <w:widowControl w:val="0"/>
        <w:numPr>
          <w:ilvl w:val="0"/>
          <w:numId w:val="0"/>
        </w:numPr>
        <w:kinsoku/>
        <w:wordWrap/>
        <w:overflowPunct/>
        <w:topLinePunct w:val="0"/>
        <w:autoSpaceDE/>
        <w:autoSpaceDN/>
        <w:bidi w:val="0"/>
        <w:adjustRightInd/>
        <w:snapToGrid/>
        <w:spacing w:before="1" w:line="560" w:lineRule="exact"/>
        <w:ind w:firstLine="672" w:firstLineChars="200"/>
        <w:textAlignment w:val="auto"/>
        <w:outlineLvl w:val="2"/>
        <w:rPr>
          <w:rFonts w:hint="eastAsia" w:ascii="方正仿宋_GBK" w:hAnsi="方正仿宋_GBK" w:eastAsia="方正仿宋_GBK" w:cs="方正仿宋_GBK"/>
          <w:spacing w:val="1"/>
          <w:sz w:val="32"/>
          <w:szCs w:val="32"/>
        </w:rPr>
      </w:pPr>
      <w:r>
        <w:rPr>
          <w:rFonts w:hint="default" w:ascii="Times New Roman" w:hAnsi="Times New Roman" w:eastAsia="华文楷体" w:cs="Times New Roman"/>
          <w:color w:val="auto"/>
          <w:spacing w:val="8"/>
          <w:sz w:val="32"/>
          <w:szCs w:val="32"/>
          <w:lang w:eastAsia="zh-CN"/>
        </w:rPr>
        <w:t>（</w:t>
      </w:r>
      <w:r>
        <w:rPr>
          <w:rFonts w:hint="default" w:ascii="Times New Roman" w:hAnsi="Times New Roman" w:eastAsia="华文楷体" w:cs="Times New Roman"/>
          <w:color w:val="auto"/>
          <w:spacing w:val="8"/>
          <w:sz w:val="32"/>
          <w:szCs w:val="32"/>
        </w:rPr>
        <w:t>三</w:t>
      </w:r>
      <w:r>
        <w:rPr>
          <w:rFonts w:hint="default" w:ascii="Times New Roman" w:hAnsi="Times New Roman" w:eastAsia="华文楷体" w:cs="Times New Roman"/>
          <w:color w:val="auto"/>
          <w:spacing w:val="8"/>
          <w:sz w:val="32"/>
          <w:szCs w:val="32"/>
          <w:lang w:eastAsia="zh-CN"/>
        </w:rPr>
        <w:t>）</w:t>
      </w:r>
      <w:r>
        <w:rPr>
          <w:rFonts w:hint="default" w:ascii="Times New Roman" w:hAnsi="Times New Roman" w:eastAsia="华文楷体" w:cs="Times New Roman"/>
          <w:color w:val="auto"/>
          <w:spacing w:val="8"/>
          <w:sz w:val="32"/>
          <w:szCs w:val="32"/>
        </w:rPr>
        <w:t>评估结果。</w:t>
      </w:r>
      <w:r>
        <w:rPr>
          <w:rFonts w:hint="default" w:ascii="Times New Roman" w:hAnsi="Times New Roman" w:eastAsia="方正仿宋_GBK" w:cs="Times New Roman"/>
          <w:spacing w:val="1"/>
          <w:sz w:val="32"/>
          <w:szCs w:val="32"/>
          <w:lang w:eastAsia="zh-CN"/>
        </w:rPr>
        <w:t>根</w:t>
      </w:r>
      <w:r>
        <w:rPr>
          <w:rFonts w:hint="eastAsia" w:ascii="方正仿宋_GBK" w:hAnsi="方正仿宋_GBK" w:eastAsia="方正仿宋_GBK" w:cs="方正仿宋_GBK"/>
          <w:spacing w:val="1"/>
          <w:sz w:val="32"/>
          <w:szCs w:val="32"/>
          <w:lang w:eastAsia="zh-CN"/>
        </w:rPr>
        <w:t>据最终标化得分值，将职业卫生管理状况分为A级（90分</w:t>
      </w:r>
      <w:r>
        <w:rPr>
          <w:rFonts w:hint="eastAsia" w:ascii="方正仿宋_GBK" w:hAnsi="方正仿宋_GBK" w:eastAsia="方正仿宋_GBK" w:cs="方正仿宋_GBK"/>
          <w:spacing w:val="1"/>
          <w:sz w:val="32"/>
          <w:szCs w:val="32"/>
          <w:lang w:val="en-US" w:eastAsia="zh-CN"/>
        </w:rPr>
        <w:t>及以上</w:t>
      </w:r>
      <w:r>
        <w:rPr>
          <w:rFonts w:hint="eastAsia" w:ascii="方正仿宋_GBK" w:hAnsi="方正仿宋_GBK" w:eastAsia="方正仿宋_GBK" w:cs="方正仿宋_GBK"/>
          <w:spacing w:val="1"/>
          <w:sz w:val="32"/>
          <w:szCs w:val="32"/>
          <w:lang w:eastAsia="zh-CN"/>
        </w:rPr>
        <w:t>）、B级（</w:t>
      </w:r>
      <w:r>
        <w:rPr>
          <w:rFonts w:hint="eastAsia" w:ascii="方正仿宋_GBK" w:hAnsi="方正仿宋_GBK" w:eastAsia="方正仿宋_GBK" w:cs="方正仿宋_GBK"/>
          <w:spacing w:val="1"/>
          <w:sz w:val="32"/>
          <w:szCs w:val="32"/>
          <w:lang w:val="en-US" w:eastAsia="zh-CN"/>
        </w:rPr>
        <w:t>7</w:t>
      </w:r>
      <w:r>
        <w:rPr>
          <w:rFonts w:hint="eastAsia" w:ascii="方正仿宋_GBK" w:hAnsi="方正仿宋_GBK" w:eastAsia="方正仿宋_GBK" w:cs="方正仿宋_GBK"/>
          <w:spacing w:val="1"/>
          <w:sz w:val="32"/>
          <w:szCs w:val="32"/>
          <w:lang w:eastAsia="zh-CN"/>
        </w:rPr>
        <w:t>0</w:t>
      </w:r>
      <w:r>
        <w:rPr>
          <w:rFonts w:hint="eastAsia" w:ascii="方正仿宋_GBK" w:hAnsi="方正仿宋_GBK" w:eastAsia="方正仿宋_GBK" w:cs="方正仿宋_GBK"/>
          <w:spacing w:val="1"/>
          <w:sz w:val="32"/>
          <w:szCs w:val="32"/>
          <w:lang w:val="en-US" w:eastAsia="zh-CN"/>
        </w:rPr>
        <w:t>-89.9</w:t>
      </w:r>
      <w:r>
        <w:rPr>
          <w:rFonts w:hint="eastAsia" w:ascii="方正仿宋_GBK" w:hAnsi="方正仿宋_GBK" w:eastAsia="方正仿宋_GBK" w:cs="方正仿宋_GBK"/>
          <w:spacing w:val="1"/>
          <w:sz w:val="32"/>
          <w:szCs w:val="32"/>
          <w:lang w:eastAsia="zh-CN"/>
        </w:rPr>
        <w:t>分）、C级（</w:t>
      </w:r>
      <w:r>
        <w:rPr>
          <w:rFonts w:hint="eastAsia" w:ascii="方正仿宋_GBK" w:hAnsi="方正仿宋_GBK" w:eastAsia="方正仿宋_GBK" w:cs="方正仿宋_GBK"/>
          <w:spacing w:val="1"/>
          <w:sz w:val="32"/>
          <w:szCs w:val="32"/>
          <w:lang w:val="en-US" w:eastAsia="zh-CN"/>
        </w:rPr>
        <w:t>7</w:t>
      </w:r>
      <w:r>
        <w:rPr>
          <w:rFonts w:hint="eastAsia" w:ascii="方正仿宋_GBK" w:hAnsi="方正仿宋_GBK" w:eastAsia="方正仿宋_GBK" w:cs="方正仿宋_GBK"/>
          <w:spacing w:val="1"/>
          <w:sz w:val="32"/>
          <w:szCs w:val="32"/>
          <w:lang w:eastAsia="zh-CN"/>
        </w:rPr>
        <w:t>0分以下）。</w:t>
      </w:r>
    </w:p>
    <w:p w14:paraId="655E34BF">
      <w:pPr>
        <w:keepNext w:val="0"/>
        <w:keepLines w:val="0"/>
        <w:pageBreakBefore w:val="0"/>
        <w:widowControl w:val="0"/>
        <w:numPr>
          <w:ilvl w:val="0"/>
          <w:numId w:val="0"/>
        </w:numPr>
        <w:kinsoku/>
        <w:wordWrap/>
        <w:overflowPunct/>
        <w:topLinePunct w:val="0"/>
        <w:autoSpaceDE/>
        <w:autoSpaceDN/>
        <w:bidi w:val="0"/>
        <w:adjustRightInd/>
        <w:snapToGrid/>
        <w:spacing w:before="1" w:line="560" w:lineRule="exact"/>
        <w:ind w:firstLine="672" w:firstLineChars="200"/>
        <w:textAlignment w:val="auto"/>
        <w:outlineLvl w:val="2"/>
        <w:rPr>
          <w:rFonts w:hint="default" w:ascii="Times New Roman" w:hAnsi="Times New Roman" w:eastAsia="国标黑体" w:cs="Times New Roman"/>
          <w:color w:val="auto"/>
          <w:spacing w:val="8"/>
          <w:sz w:val="32"/>
          <w:szCs w:val="32"/>
        </w:rPr>
      </w:pPr>
      <w:r>
        <w:rPr>
          <w:rFonts w:hint="default" w:ascii="Times New Roman" w:hAnsi="Times New Roman" w:eastAsia="国标黑体" w:cs="Times New Roman"/>
          <w:color w:val="auto"/>
          <w:spacing w:val="8"/>
          <w:sz w:val="32"/>
          <w:szCs w:val="32"/>
        </w:rPr>
        <w:t>三、职业病危害综合风险类别确定</w:t>
      </w:r>
    </w:p>
    <w:p w14:paraId="596D1082">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4" w:firstLineChars="200"/>
        <w:textAlignment w:val="auto"/>
        <w:outlineLvl w:val="2"/>
        <w:rPr>
          <w:rFonts w:hint="eastAsia" w:ascii="方正仿宋_GBK" w:hAnsi="方正仿宋_GBK" w:eastAsia="方正仿宋_GBK" w:cs="方正仿宋_GBK"/>
          <w:spacing w:val="1"/>
          <w:sz w:val="32"/>
          <w:szCs w:val="32"/>
        </w:rPr>
      </w:pPr>
      <w:r>
        <w:rPr>
          <w:rFonts w:hint="default" w:ascii="Times New Roman" w:hAnsi="Times New Roman" w:eastAsia="方正仿宋_GBK" w:cs="Times New Roman"/>
          <w:spacing w:val="1"/>
          <w:sz w:val="32"/>
          <w:szCs w:val="32"/>
          <w:lang w:eastAsia="zh-CN"/>
        </w:rPr>
        <w:t>根据职业病危害风险和职业卫生管理状况分级结果确定职业病</w:t>
      </w:r>
      <w:r>
        <w:rPr>
          <w:rFonts w:hint="eastAsia" w:ascii="方正仿宋_GBK" w:hAnsi="方正仿宋_GBK" w:eastAsia="方正仿宋_GBK" w:cs="方正仿宋_GBK"/>
          <w:spacing w:val="1"/>
          <w:sz w:val="32"/>
          <w:szCs w:val="32"/>
          <w:lang w:eastAsia="zh-CN"/>
        </w:rPr>
        <w:t>危害综合风险类别（见下表），分为甲、乙、丙3个类别，其中甲类风险最低，丙类风险最高。</w:t>
      </w:r>
    </w:p>
    <w:p w14:paraId="6D81F598">
      <w:pPr>
        <w:keepNext w:val="0"/>
        <w:keepLines w:val="0"/>
        <w:pageBreakBefore w:val="0"/>
        <w:widowControl w:val="0"/>
        <w:numPr>
          <w:ilvl w:val="0"/>
          <w:numId w:val="0"/>
        </w:numPr>
        <w:kinsoku/>
        <w:wordWrap/>
        <w:overflowPunct/>
        <w:topLinePunct w:val="0"/>
        <w:autoSpaceDE/>
        <w:autoSpaceDN/>
        <w:bidi w:val="0"/>
        <w:adjustRightInd/>
        <w:snapToGrid/>
        <w:spacing w:before="1" w:line="560" w:lineRule="exact"/>
        <w:jc w:val="center"/>
        <w:textAlignment w:val="auto"/>
        <w:outlineLvl w:val="2"/>
        <w:rPr>
          <w:rFonts w:hint="default" w:ascii="Times New Roman" w:hAnsi="Times New Roman" w:eastAsia="方正仿宋_GBK" w:cs="Times New Roman"/>
          <w:color w:val="auto"/>
        </w:rPr>
      </w:pPr>
      <w:r>
        <w:rPr>
          <w:rFonts w:hint="default" w:ascii="Times New Roman" w:hAnsi="Times New Roman" w:eastAsia="方正仿宋_GBK" w:cs="Times New Roman"/>
          <w:b/>
          <w:bCs/>
          <w:color w:val="auto"/>
          <w:spacing w:val="8"/>
          <w:sz w:val="32"/>
          <w:szCs w:val="32"/>
        </w:rPr>
        <w:t>用人单位职业病危害综合风险评估方法</w:t>
      </w:r>
    </w:p>
    <w:tbl>
      <w:tblPr>
        <w:tblStyle w:val="5"/>
        <w:tblW w:w="83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1"/>
        <w:gridCol w:w="1948"/>
        <w:gridCol w:w="1928"/>
        <w:gridCol w:w="1863"/>
      </w:tblGrid>
      <w:tr w14:paraId="44858D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jc w:val="center"/>
        </w:trPr>
        <w:tc>
          <w:tcPr>
            <w:tcW w:w="2561" w:type="dxa"/>
            <w:vMerge w:val="restart"/>
            <w:tcBorders>
              <w:bottom w:val="nil"/>
            </w:tcBorders>
            <w:vAlign w:val="center"/>
          </w:tcPr>
          <w:p w14:paraId="7D03DD50">
            <w:pPr>
              <w:pStyle w:val="4"/>
              <w:keepNext w:val="0"/>
              <w:keepLines w:val="0"/>
              <w:pageBreakBefore w:val="0"/>
              <w:widowControl w:val="0"/>
              <w:kinsoku/>
              <w:wordWrap/>
              <w:overflowPunct/>
              <w:topLinePunct w:val="0"/>
              <w:autoSpaceDE/>
              <w:autoSpaceDN/>
              <w:bidi w:val="0"/>
              <w:adjustRightInd/>
              <w:snapToGrid/>
              <w:spacing w:line="560" w:lineRule="exact"/>
              <w:ind w:left="0" w:right="0" w:firstLine="0"/>
              <w:jc w:val="center"/>
              <w:textAlignment w:val="auto"/>
              <w:rPr>
                <w:rFonts w:hint="eastAsia" w:ascii="方正仿宋_GBK" w:hAnsi="方正仿宋_GBK" w:eastAsia="方正仿宋_GBK" w:cs="方正仿宋_GBK"/>
                <w:color w:val="auto"/>
                <w:spacing w:val="1"/>
                <w:sz w:val="28"/>
                <w:szCs w:val="28"/>
              </w:rPr>
            </w:pPr>
            <w:r>
              <w:rPr>
                <w:rFonts w:hint="eastAsia" w:ascii="方正仿宋_GBK" w:hAnsi="方正仿宋_GBK" w:eastAsia="方正仿宋_GBK" w:cs="方正仿宋_GBK"/>
                <w:color w:val="auto"/>
                <w:spacing w:val="1"/>
                <w:sz w:val="28"/>
                <w:szCs w:val="28"/>
              </w:rPr>
              <w:t>职业卫生管理</w:t>
            </w:r>
          </w:p>
          <w:p w14:paraId="55C2335A">
            <w:pPr>
              <w:pStyle w:val="4"/>
              <w:keepNext w:val="0"/>
              <w:keepLines w:val="0"/>
              <w:pageBreakBefore w:val="0"/>
              <w:widowControl w:val="0"/>
              <w:kinsoku/>
              <w:wordWrap/>
              <w:overflowPunct/>
              <w:topLinePunct w:val="0"/>
              <w:autoSpaceDE/>
              <w:autoSpaceDN/>
              <w:bidi w:val="0"/>
              <w:adjustRightInd/>
              <w:snapToGrid/>
              <w:spacing w:line="560" w:lineRule="exact"/>
              <w:ind w:left="0" w:right="0" w:firstLine="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1"/>
                <w:sz w:val="28"/>
                <w:szCs w:val="28"/>
              </w:rPr>
              <w:t>状况</w:t>
            </w:r>
            <w:r>
              <w:rPr>
                <w:rFonts w:hint="eastAsia" w:ascii="方正仿宋_GBK" w:hAnsi="方正仿宋_GBK" w:eastAsia="方正仿宋_GBK" w:cs="方正仿宋_GBK"/>
                <w:color w:val="auto"/>
                <w:spacing w:val="8"/>
                <w:sz w:val="28"/>
                <w:szCs w:val="28"/>
              </w:rPr>
              <w:t>等级</w:t>
            </w:r>
          </w:p>
        </w:tc>
        <w:tc>
          <w:tcPr>
            <w:tcW w:w="5739" w:type="dxa"/>
            <w:gridSpan w:val="3"/>
            <w:vAlign w:val="center"/>
          </w:tcPr>
          <w:p w14:paraId="5AFCE292">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1"/>
                <w:sz w:val="28"/>
                <w:szCs w:val="28"/>
              </w:rPr>
              <w:t>职业病危害风险等级</w:t>
            </w:r>
          </w:p>
        </w:tc>
      </w:tr>
      <w:tr w14:paraId="18B8B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8" w:hRule="atLeast"/>
          <w:jc w:val="center"/>
        </w:trPr>
        <w:tc>
          <w:tcPr>
            <w:tcW w:w="2561" w:type="dxa"/>
            <w:vMerge w:val="continue"/>
            <w:tcBorders>
              <w:top w:val="nil"/>
            </w:tcBorders>
            <w:vAlign w:val="top"/>
          </w:tcPr>
          <w:p w14:paraId="02F9C9DC">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方正仿宋_GBK" w:hAnsi="方正仿宋_GBK" w:eastAsia="方正仿宋_GBK" w:cs="方正仿宋_GBK"/>
                <w:color w:val="auto"/>
                <w:sz w:val="21"/>
              </w:rPr>
            </w:pPr>
          </w:p>
        </w:tc>
        <w:tc>
          <w:tcPr>
            <w:tcW w:w="1948" w:type="dxa"/>
            <w:vAlign w:val="center"/>
          </w:tcPr>
          <w:p w14:paraId="116188C3">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8"/>
                <w:sz w:val="28"/>
                <w:szCs w:val="28"/>
              </w:rPr>
              <w:t>I级</w:t>
            </w:r>
          </w:p>
        </w:tc>
        <w:tc>
          <w:tcPr>
            <w:tcW w:w="1928" w:type="dxa"/>
            <w:vAlign w:val="center"/>
          </w:tcPr>
          <w:p w14:paraId="24AB5F25">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30"/>
                <w:sz w:val="28"/>
                <w:szCs w:val="28"/>
              </w:rPr>
              <w:t>Ⅱ级</w:t>
            </w:r>
          </w:p>
        </w:tc>
        <w:tc>
          <w:tcPr>
            <w:tcW w:w="1863" w:type="dxa"/>
            <w:vAlign w:val="center"/>
          </w:tcPr>
          <w:p w14:paraId="5432003B">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8"/>
                <w:sz w:val="28"/>
                <w:szCs w:val="28"/>
              </w:rPr>
              <w:t>Ⅲ级</w:t>
            </w:r>
          </w:p>
        </w:tc>
      </w:tr>
      <w:tr w14:paraId="46D37E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561" w:type="dxa"/>
            <w:vAlign w:val="center"/>
          </w:tcPr>
          <w:p w14:paraId="6DD77FFD">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A级</w:t>
            </w:r>
          </w:p>
        </w:tc>
        <w:tc>
          <w:tcPr>
            <w:tcW w:w="1948" w:type="dxa"/>
            <w:vAlign w:val="center"/>
          </w:tcPr>
          <w:p w14:paraId="5F8E8779">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6"/>
                <w:sz w:val="28"/>
                <w:szCs w:val="28"/>
              </w:rPr>
              <w:t>甲类</w:t>
            </w:r>
          </w:p>
        </w:tc>
        <w:tc>
          <w:tcPr>
            <w:tcW w:w="1928" w:type="dxa"/>
            <w:vAlign w:val="center"/>
          </w:tcPr>
          <w:p w14:paraId="1C14EB40">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6"/>
                <w:sz w:val="28"/>
                <w:szCs w:val="28"/>
              </w:rPr>
              <w:t>甲类</w:t>
            </w:r>
          </w:p>
        </w:tc>
        <w:tc>
          <w:tcPr>
            <w:tcW w:w="1863" w:type="dxa"/>
            <w:vAlign w:val="center"/>
          </w:tcPr>
          <w:p w14:paraId="6A965384">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6"/>
                <w:sz w:val="28"/>
                <w:szCs w:val="28"/>
              </w:rPr>
              <w:t>乙类</w:t>
            </w:r>
          </w:p>
        </w:tc>
      </w:tr>
      <w:tr w14:paraId="166D56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8" w:hRule="atLeast"/>
          <w:jc w:val="center"/>
        </w:trPr>
        <w:tc>
          <w:tcPr>
            <w:tcW w:w="2561" w:type="dxa"/>
            <w:vAlign w:val="center"/>
          </w:tcPr>
          <w:p w14:paraId="2CDE1956">
            <w:pPr>
              <w:pStyle w:val="4"/>
              <w:keepNext w:val="0"/>
              <w:keepLines w:val="0"/>
              <w:pageBreakBefore w:val="0"/>
              <w:widowControl w:val="0"/>
              <w:kinsoku/>
              <w:wordWrap/>
              <w:overflowPunct/>
              <w:topLinePunct w:val="0"/>
              <w:autoSpaceDE/>
              <w:autoSpaceDN/>
              <w:bidi w:val="0"/>
              <w:adjustRightInd/>
              <w:snapToGrid/>
              <w:spacing w:line="560" w:lineRule="exact"/>
              <w:ind w:left="0" w:leftChars="0" w:hanging="13" w:firstLineChars="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B级</w:t>
            </w:r>
          </w:p>
        </w:tc>
        <w:tc>
          <w:tcPr>
            <w:tcW w:w="1948" w:type="dxa"/>
            <w:vAlign w:val="center"/>
          </w:tcPr>
          <w:p w14:paraId="1A8C5744">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6"/>
                <w:sz w:val="28"/>
                <w:szCs w:val="28"/>
              </w:rPr>
              <w:t>甲类</w:t>
            </w:r>
          </w:p>
        </w:tc>
        <w:tc>
          <w:tcPr>
            <w:tcW w:w="1928" w:type="dxa"/>
            <w:vAlign w:val="center"/>
          </w:tcPr>
          <w:p w14:paraId="79BDF5A5">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6"/>
                <w:sz w:val="28"/>
                <w:szCs w:val="28"/>
              </w:rPr>
              <w:t>乙类</w:t>
            </w:r>
          </w:p>
        </w:tc>
        <w:tc>
          <w:tcPr>
            <w:tcW w:w="1863" w:type="dxa"/>
            <w:vAlign w:val="center"/>
          </w:tcPr>
          <w:p w14:paraId="669935F9">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6"/>
                <w:sz w:val="28"/>
                <w:szCs w:val="28"/>
              </w:rPr>
              <w:t>丙类</w:t>
            </w:r>
          </w:p>
        </w:tc>
      </w:tr>
      <w:tr w14:paraId="0EA9C4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jc w:val="center"/>
        </w:trPr>
        <w:tc>
          <w:tcPr>
            <w:tcW w:w="2561" w:type="dxa"/>
            <w:vAlign w:val="center"/>
          </w:tcPr>
          <w:p w14:paraId="6AE0AE2C">
            <w:pPr>
              <w:pStyle w:val="4"/>
              <w:keepNext w:val="0"/>
              <w:keepLines w:val="0"/>
              <w:pageBreakBefore w:val="0"/>
              <w:widowControl w:val="0"/>
              <w:kinsoku/>
              <w:wordWrap/>
              <w:overflowPunct/>
              <w:topLinePunct w:val="0"/>
              <w:autoSpaceDE/>
              <w:autoSpaceDN/>
              <w:bidi w:val="0"/>
              <w:adjustRightInd/>
              <w:snapToGrid/>
              <w:spacing w:line="560" w:lineRule="exact"/>
              <w:ind w:left="0" w:leftChars="0" w:hanging="13" w:firstLineChars="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C级</w:t>
            </w:r>
          </w:p>
        </w:tc>
        <w:tc>
          <w:tcPr>
            <w:tcW w:w="1948" w:type="dxa"/>
            <w:vAlign w:val="center"/>
          </w:tcPr>
          <w:p w14:paraId="25358F34">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6"/>
                <w:sz w:val="28"/>
                <w:szCs w:val="28"/>
              </w:rPr>
              <w:t>乙类</w:t>
            </w:r>
          </w:p>
        </w:tc>
        <w:tc>
          <w:tcPr>
            <w:tcW w:w="1928" w:type="dxa"/>
            <w:vAlign w:val="center"/>
          </w:tcPr>
          <w:p w14:paraId="55C3AED1">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6"/>
                <w:sz w:val="28"/>
                <w:szCs w:val="28"/>
              </w:rPr>
              <w:t>丙类</w:t>
            </w:r>
          </w:p>
        </w:tc>
        <w:tc>
          <w:tcPr>
            <w:tcW w:w="1863" w:type="dxa"/>
            <w:vAlign w:val="center"/>
          </w:tcPr>
          <w:p w14:paraId="3542B7FF">
            <w:pPr>
              <w:pStyle w:val="4"/>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pacing w:val="6"/>
                <w:sz w:val="28"/>
                <w:szCs w:val="28"/>
              </w:rPr>
              <w:t>丙类</w:t>
            </w:r>
          </w:p>
        </w:tc>
      </w:tr>
    </w:tbl>
    <w:p w14:paraId="1D17365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国标黑体">
    <w:altName w:val="黑体"/>
    <w:panose1 w:val="02000500000000000000"/>
    <w:charset w:val="86"/>
    <w:family w:val="auto"/>
    <w:pitch w:val="default"/>
    <w:sig w:usb0="00000000" w:usb1="00000000" w:usb2="00000000" w:usb3="00000000" w:csb0="00040000" w:csb1="00000000"/>
  </w:font>
  <w:font w:name="方正小标宋_GBK">
    <w:altName w:val="Arial Unicode MS"/>
    <w:panose1 w:val="02000000000000000000"/>
    <w:charset w:val="86"/>
    <w:family w:val="script"/>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KSOF7DF6CDC0">
    <w:panose1 w:val="02010609060101010101"/>
    <w:charset w:val="86"/>
    <w:family w:val="auto"/>
    <w:pitch w:val="default"/>
    <w:sig w:usb0="00000001"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7604B8"/>
    <w:rsid w:val="00A52C09"/>
    <w:rsid w:val="00D82FD6"/>
    <w:rsid w:val="01536DBF"/>
    <w:rsid w:val="022C7B12"/>
    <w:rsid w:val="03BC22B9"/>
    <w:rsid w:val="0C467C6A"/>
    <w:rsid w:val="0CA6496E"/>
    <w:rsid w:val="10921A09"/>
    <w:rsid w:val="121137A1"/>
    <w:rsid w:val="12D022AA"/>
    <w:rsid w:val="136127B7"/>
    <w:rsid w:val="1537759A"/>
    <w:rsid w:val="153C3939"/>
    <w:rsid w:val="17FD1E9F"/>
    <w:rsid w:val="1CC22BF1"/>
    <w:rsid w:val="1F0E1CBE"/>
    <w:rsid w:val="1F58042A"/>
    <w:rsid w:val="213D138A"/>
    <w:rsid w:val="22094286"/>
    <w:rsid w:val="22BB7C8F"/>
    <w:rsid w:val="231B2E11"/>
    <w:rsid w:val="2601208F"/>
    <w:rsid w:val="29577E17"/>
    <w:rsid w:val="2CFA0498"/>
    <w:rsid w:val="349E08A1"/>
    <w:rsid w:val="38432C50"/>
    <w:rsid w:val="39DE65F6"/>
    <w:rsid w:val="3A6601D7"/>
    <w:rsid w:val="3AFC62EC"/>
    <w:rsid w:val="3B4F08B0"/>
    <w:rsid w:val="3B7604B8"/>
    <w:rsid w:val="3D127E6A"/>
    <w:rsid w:val="3F177889"/>
    <w:rsid w:val="3F40706E"/>
    <w:rsid w:val="3F497A86"/>
    <w:rsid w:val="41C76C15"/>
    <w:rsid w:val="4203305D"/>
    <w:rsid w:val="43216D23"/>
    <w:rsid w:val="43D0489B"/>
    <w:rsid w:val="47386EEB"/>
    <w:rsid w:val="4F93087E"/>
    <w:rsid w:val="4FBE45A7"/>
    <w:rsid w:val="5211551B"/>
    <w:rsid w:val="535B0538"/>
    <w:rsid w:val="546C6AFA"/>
    <w:rsid w:val="588160DB"/>
    <w:rsid w:val="58E334A1"/>
    <w:rsid w:val="59A92571"/>
    <w:rsid w:val="5B911EDF"/>
    <w:rsid w:val="5E363C42"/>
    <w:rsid w:val="5FB755C2"/>
    <w:rsid w:val="60463B73"/>
    <w:rsid w:val="60DA0424"/>
    <w:rsid w:val="61A61E78"/>
    <w:rsid w:val="62C4078E"/>
    <w:rsid w:val="62C44114"/>
    <w:rsid w:val="62DB4B3C"/>
    <w:rsid w:val="63953142"/>
    <w:rsid w:val="64D83671"/>
    <w:rsid w:val="68B8200E"/>
    <w:rsid w:val="69D5490E"/>
    <w:rsid w:val="69FD491B"/>
    <w:rsid w:val="6FBC7B07"/>
    <w:rsid w:val="774B7559"/>
    <w:rsid w:val="779265EB"/>
    <w:rsid w:val="79D9203D"/>
    <w:rsid w:val="79F726CE"/>
    <w:rsid w:val="7BF24AAC"/>
    <w:rsid w:val="7E202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Table Text"/>
    <w:basedOn w:val="1"/>
    <w:semiHidden/>
    <w:qFormat/>
    <w:uiPriority w:val="0"/>
    <w:rPr>
      <w:rFonts w:ascii="宋体" w:hAnsi="宋体" w:eastAsia="宋体" w:cs="宋体"/>
      <w:sz w:val="26"/>
      <w:szCs w:val="26"/>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4</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2026-03-13T07:47:00Z</dcterms:created>
  <dc:creator>李品娥</dc:creator>
  <cp:lastModifiedBy>李品娥</cp:lastModifiedBy>
  <dcterms:modified xsi:type="dcterms:W3CDTF">2026-03-13T07:47:14Z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E5E1142FED0E4799BEAFA7BD5FE6BCC0_11</vt:lpwstr>
  </property>
  <property fmtid="{D5CDD505-2E9C-101B-9397-08002B2CF9AE}" pid="4" name="KSOTemplateDocerSaveRecord">
    <vt:lpwstr>eyJoZGlkIjoiNTkzMTA5YjQzNDVkN2UwNGZkZWNkMmM4OGNiYmE4NmQiLCJ1c2VySWQiOiI0MzY0MTA3MDIifQ==</vt:lpwstr>
  </property>
</Properties>
</file>